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60" w:lineRule="exact"/>
        <w:ind w:firstLine="0" w:firstLineChars="0"/>
        <w:jc w:val="center"/>
        <w:rPr>
          <w:rFonts w:hint="eastAsia" w:hAnsi="宋体" w:eastAsia="宋体"/>
          <w:sz w:val="36"/>
          <w:szCs w:val="32"/>
          <w:highlight w:val="none"/>
          <w:lang w:eastAsia="zh-CN"/>
        </w:rPr>
      </w:pPr>
      <w:r>
        <w:rPr>
          <w:rFonts w:hint="eastAsia" w:hAnsi="宋体"/>
          <w:sz w:val="36"/>
          <w:szCs w:val="32"/>
          <w:highlight w:val="none"/>
          <w:lang w:eastAsia="zh-CN"/>
        </w:rPr>
        <w:t>肥东县2025年农村公路提质改造工程（桥头集镇）</w:t>
      </w:r>
    </w:p>
    <w:p>
      <w:pPr>
        <w:spacing w:beforeLines="100" w:line="460" w:lineRule="exact"/>
        <w:ind w:firstLine="0" w:firstLineChars="0"/>
        <w:jc w:val="center"/>
        <w:rPr>
          <w:sz w:val="22"/>
          <w:szCs w:val="22"/>
        </w:rPr>
      </w:pPr>
      <w:r>
        <w:rPr>
          <w:rFonts w:hint="eastAsia" w:hAnsi="宋体"/>
          <w:sz w:val="22"/>
          <w:szCs w:val="22"/>
        </w:rPr>
        <w:t>（招标编号：</w:t>
      </w:r>
      <w:r>
        <w:rPr>
          <w:rFonts w:hint="eastAsia" w:hAnsi="宋体"/>
          <w:sz w:val="22"/>
          <w:szCs w:val="22"/>
          <w:lang w:val="en-US" w:eastAsia="zh-CN"/>
        </w:rPr>
        <w:t xml:space="preserve">    </w:t>
      </w:r>
      <w:r>
        <w:rPr>
          <w:rFonts w:hint="eastAsia" w:hAnsi="宋体"/>
          <w:sz w:val="22"/>
          <w:szCs w:val="22"/>
        </w:rPr>
        <w:t>）</w:t>
      </w:r>
    </w:p>
    <w:p>
      <w:pPr>
        <w:spacing w:line="540" w:lineRule="exact"/>
        <w:ind w:firstLine="420"/>
        <w:jc w:val="center"/>
        <w:rPr>
          <w:szCs w:val="21"/>
        </w:rPr>
      </w:pPr>
    </w:p>
    <w:p>
      <w:pPr>
        <w:spacing w:line="540" w:lineRule="exact"/>
        <w:ind w:firstLine="420"/>
        <w:rPr>
          <w:szCs w:val="21"/>
        </w:rPr>
      </w:pPr>
    </w:p>
    <w:p>
      <w:pPr>
        <w:ind w:firstLine="0" w:firstLineChars="0"/>
        <w:jc w:val="center"/>
        <w:rPr>
          <w:rFonts w:eastAsia="黑体"/>
          <w:sz w:val="72"/>
          <w:szCs w:val="72"/>
        </w:rPr>
      </w:pPr>
      <w:r>
        <w:rPr>
          <w:rFonts w:hint="eastAsia" w:eastAsia="黑体"/>
          <w:sz w:val="72"/>
          <w:szCs w:val="72"/>
        </w:rPr>
        <w:t>招标文件</w:t>
      </w:r>
    </w:p>
    <w:p>
      <w:pPr>
        <w:spacing w:line="540" w:lineRule="exact"/>
        <w:ind w:firstLine="420"/>
        <w:rPr>
          <w:szCs w:val="21"/>
        </w:rPr>
      </w:pPr>
    </w:p>
    <w:p>
      <w:pPr>
        <w:spacing w:line="540" w:lineRule="exact"/>
        <w:ind w:firstLine="420"/>
        <w:rPr>
          <w:szCs w:val="21"/>
        </w:rPr>
      </w:pPr>
    </w:p>
    <w:p>
      <w:pPr>
        <w:spacing w:line="540" w:lineRule="exact"/>
        <w:ind w:firstLine="420"/>
        <w:rPr>
          <w:szCs w:val="21"/>
        </w:rPr>
      </w:pPr>
    </w:p>
    <w:p>
      <w:pPr>
        <w:spacing w:line="540" w:lineRule="exact"/>
        <w:ind w:firstLine="420"/>
        <w:rPr>
          <w:szCs w:val="21"/>
        </w:rPr>
      </w:pPr>
    </w:p>
    <w:p>
      <w:pPr>
        <w:spacing w:line="540" w:lineRule="exact"/>
        <w:ind w:firstLine="420"/>
        <w:rPr>
          <w:szCs w:val="21"/>
        </w:rPr>
      </w:pPr>
    </w:p>
    <w:p>
      <w:pPr>
        <w:spacing w:line="540" w:lineRule="exact"/>
        <w:ind w:firstLine="420"/>
        <w:rPr>
          <w:szCs w:val="21"/>
        </w:rPr>
      </w:pPr>
    </w:p>
    <w:p>
      <w:pPr>
        <w:spacing w:line="540" w:lineRule="exact"/>
        <w:ind w:firstLine="420"/>
        <w:rPr>
          <w:szCs w:val="21"/>
        </w:rPr>
      </w:pPr>
    </w:p>
    <w:p>
      <w:pPr>
        <w:spacing w:line="540" w:lineRule="exact"/>
        <w:ind w:firstLine="420"/>
        <w:rPr>
          <w:szCs w:val="21"/>
        </w:rPr>
      </w:pPr>
    </w:p>
    <w:p>
      <w:pPr>
        <w:spacing w:line="540" w:lineRule="exact"/>
        <w:ind w:firstLine="420"/>
        <w:rPr>
          <w:szCs w:val="21"/>
        </w:rPr>
      </w:pPr>
    </w:p>
    <w:p>
      <w:pPr>
        <w:spacing w:line="540" w:lineRule="exact"/>
        <w:ind w:firstLine="420"/>
        <w:rPr>
          <w:szCs w:val="21"/>
        </w:rPr>
      </w:pPr>
    </w:p>
    <w:p>
      <w:pPr>
        <w:spacing w:line="360" w:lineRule="auto"/>
        <w:ind w:firstLine="0" w:firstLineChars="0"/>
        <w:rPr>
          <w:rFonts w:hAnsi="宋体"/>
          <w:sz w:val="32"/>
          <w:szCs w:val="32"/>
        </w:rPr>
      </w:pPr>
      <w:r>
        <w:rPr>
          <w:rFonts w:hint="eastAsia" w:eastAsia="黑体"/>
          <w:sz w:val="32"/>
          <w:szCs w:val="32"/>
        </w:rPr>
        <w:t>招   标   人：</w:t>
      </w:r>
      <w:r>
        <w:rPr>
          <w:rFonts w:hint="eastAsia" w:eastAsia="黑体"/>
          <w:sz w:val="32"/>
          <w:szCs w:val="32"/>
          <w:highlight w:val="none"/>
          <w:lang w:eastAsia="zh-CN"/>
        </w:rPr>
        <w:t>肥东县桥头集镇人民政府</w:t>
      </w:r>
      <w:r>
        <w:rPr>
          <w:rFonts w:hint="eastAsia" w:hAnsi="宋体"/>
          <w:sz w:val="32"/>
          <w:szCs w:val="32"/>
        </w:rPr>
        <w:t>（盖单位章）</w:t>
      </w:r>
    </w:p>
    <w:p>
      <w:pPr>
        <w:spacing w:line="360" w:lineRule="auto"/>
        <w:ind w:firstLine="0" w:firstLineChars="0"/>
        <w:rPr>
          <w:rFonts w:hAnsi="宋体"/>
          <w:sz w:val="32"/>
          <w:szCs w:val="32"/>
        </w:rPr>
      </w:pPr>
    </w:p>
    <w:p>
      <w:pPr>
        <w:spacing w:line="360" w:lineRule="auto"/>
        <w:ind w:firstLine="0" w:firstLineChars="0"/>
        <w:jc w:val="center"/>
        <w:rPr>
          <w:sz w:val="32"/>
          <w:szCs w:val="32"/>
        </w:rPr>
      </w:pPr>
      <w:r>
        <w:rPr>
          <w:rFonts w:hint="eastAsia" w:eastAsia="黑体"/>
          <w:sz w:val="32"/>
          <w:szCs w:val="32"/>
        </w:rPr>
        <w:t>招标代理机构：肥东县公共资源交易有限公司</w:t>
      </w:r>
      <w:r>
        <w:rPr>
          <w:rFonts w:hint="eastAsia" w:hAnsi="宋体"/>
          <w:sz w:val="32"/>
          <w:szCs w:val="32"/>
        </w:rPr>
        <w:t>（盖单位章）</w:t>
      </w:r>
    </w:p>
    <w:p>
      <w:pPr>
        <w:spacing w:line="540" w:lineRule="exact"/>
        <w:ind w:firstLine="0" w:firstLineChars="0"/>
        <w:jc w:val="center"/>
        <w:rPr>
          <w:rFonts w:eastAsia="黑体"/>
          <w:sz w:val="32"/>
          <w:szCs w:val="32"/>
        </w:rPr>
      </w:pPr>
    </w:p>
    <w:p>
      <w:pPr>
        <w:spacing w:line="540" w:lineRule="exact"/>
        <w:ind w:firstLine="0" w:firstLineChars="0"/>
        <w:jc w:val="center"/>
        <w:rPr>
          <w:sz w:val="32"/>
          <w:szCs w:val="32"/>
        </w:rPr>
      </w:pPr>
      <w:r>
        <w:rPr>
          <w:rFonts w:hint="eastAsia" w:eastAsia="黑体"/>
          <w:sz w:val="32"/>
          <w:szCs w:val="32"/>
        </w:rPr>
        <w:t>日期</w:t>
      </w:r>
      <w:r>
        <w:rPr>
          <w:rFonts w:hint="eastAsia" w:hAnsi="宋体"/>
          <w:sz w:val="32"/>
          <w:szCs w:val="32"/>
        </w:rPr>
        <w:t>：202</w:t>
      </w:r>
      <w:r>
        <w:rPr>
          <w:rFonts w:hint="eastAsia" w:hAnsi="宋体"/>
          <w:sz w:val="32"/>
          <w:szCs w:val="32"/>
          <w:lang w:val="en-US" w:eastAsia="zh-CN"/>
        </w:rPr>
        <w:t>5</w:t>
      </w:r>
      <w:r>
        <w:rPr>
          <w:rFonts w:hint="eastAsia" w:hAnsi="宋体"/>
          <w:sz w:val="32"/>
          <w:szCs w:val="32"/>
        </w:rPr>
        <w:t>年</w:t>
      </w:r>
      <w:r>
        <w:rPr>
          <w:rFonts w:hint="eastAsia" w:hAnsi="宋体"/>
          <w:sz w:val="32"/>
          <w:szCs w:val="32"/>
          <w:highlight w:val="none"/>
        </w:rPr>
        <w:t>0</w:t>
      </w:r>
      <w:r>
        <w:rPr>
          <w:rFonts w:hint="eastAsia" w:hAnsi="宋体"/>
          <w:sz w:val="32"/>
          <w:szCs w:val="32"/>
          <w:highlight w:val="none"/>
          <w:lang w:val="en-US" w:eastAsia="zh-CN"/>
        </w:rPr>
        <w:t>6</w:t>
      </w:r>
      <w:r>
        <w:rPr>
          <w:rFonts w:hint="eastAsia" w:hAnsi="宋体"/>
          <w:sz w:val="32"/>
          <w:szCs w:val="32"/>
          <w:highlight w:val="none"/>
        </w:rPr>
        <w:t>月</w:t>
      </w:r>
    </w:p>
    <w:p>
      <w:pPr>
        <w:spacing w:line="540" w:lineRule="exact"/>
        <w:ind w:firstLine="640"/>
        <w:rPr>
          <w:sz w:val="32"/>
          <w:szCs w:val="32"/>
        </w:rPr>
      </w:pPr>
    </w:p>
    <w:p>
      <w:pPr>
        <w:widowControl/>
        <w:ind w:firstLine="420"/>
        <w:jc w:val="left"/>
      </w:pPr>
    </w:p>
    <w:p>
      <w:pPr>
        <w:ind w:firstLine="1044"/>
        <w:rPr>
          <w:rFonts w:hAnsi="宋体"/>
          <w:b/>
          <w:sz w:val="52"/>
          <w:szCs w:val="52"/>
        </w:rPr>
      </w:pPr>
      <w:r>
        <w:rPr>
          <w:rFonts w:hint="eastAsia" w:hAnsi="宋体"/>
          <w:b/>
          <w:sz w:val="52"/>
          <w:szCs w:val="52"/>
        </w:rPr>
        <w:br w:type="page"/>
      </w:r>
    </w:p>
    <w:p>
      <w:pPr>
        <w:spacing w:afterLines="150" w:line="540" w:lineRule="exact"/>
        <w:ind w:firstLine="0" w:firstLineChars="0"/>
        <w:jc w:val="center"/>
        <w:rPr>
          <w:b/>
          <w:sz w:val="52"/>
          <w:szCs w:val="52"/>
        </w:rPr>
      </w:pPr>
      <w:r>
        <w:rPr>
          <w:rFonts w:hint="eastAsia" w:hAnsi="宋体"/>
          <w:b/>
          <w:sz w:val="52"/>
          <w:szCs w:val="52"/>
        </w:rPr>
        <w:t>目录</w:t>
      </w:r>
    </w:p>
    <w:p>
      <w:pPr>
        <w:pStyle w:val="105"/>
        <w:ind w:firstLine="420"/>
        <w:rPr>
          <w:rFonts w:ascii="Times New Roman" w:hAnsi="Times New Roman"/>
          <w:color w:val="auto"/>
        </w:rPr>
      </w:pPr>
    </w:p>
    <w:p>
      <w:pPr>
        <w:pStyle w:val="36"/>
        <w:tabs>
          <w:tab w:val="left" w:pos="1680"/>
          <w:tab w:val="right" w:leader="dot" w:pos="8296"/>
        </w:tabs>
        <w:ind w:firstLine="420"/>
        <w:rPr>
          <w:rFonts w:asciiTheme="minorHAnsi" w:hAnsiTheme="minorHAnsi" w:eastAsiaTheme="minorEastAsia" w:cstheme="minorBidi"/>
          <w:b w:val="0"/>
          <w:bCs w:val="0"/>
          <w:szCs w:val="22"/>
        </w:rPr>
      </w:pPr>
      <w:r>
        <w:rPr>
          <w:rStyle w:val="68"/>
          <w:rFonts w:eastAsia="黑体"/>
          <w:bCs/>
          <w:color w:val="auto"/>
          <w:kern w:val="44"/>
        </w:rPr>
        <w:fldChar w:fldCharType="begin"/>
      </w:r>
      <w:r>
        <w:rPr>
          <w:rStyle w:val="68"/>
          <w:rFonts w:eastAsia="黑体"/>
          <w:bCs/>
          <w:color w:val="auto"/>
          <w:kern w:val="44"/>
        </w:rPr>
        <w:instrText xml:space="preserve"> TOC \o "1-3" \h \z \u </w:instrText>
      </w:r>
      <w:r>
        <w:rPr>
          <w:rStyle w:val="68"/>
          <w:rFonts w:eastAsia="黑体"/>
          <w:color w:val="auto"/>
          <w:kern w:val="44"/>
        </w:rPr>
        <w:fldChar w:fldCharType="separate"/>
      </w:r>
      <w:r>
        <w:rPr>
          <w:b w:val="0"/>
          <w:bCs w:val="0"/>
        </w:rPr>
        <w:fldChar w:fldCharType="begin"/>
      </w:r>
      <w:r>
        <w:rPr>
          <w:b w:val="0"/>
          <w:bCs w:val="0"/>
        </w:rPr>
        <w:instrText xml:space="preserve"> HYPERLINK \l "_Toc138689335" </w:instrText>
      </w:r>
      <w:r>
        <w:rPr>
          <w:b w:val="0"/>
          <w:bCs w:val="0"/>
        </w:rPr>
        <w:fldChar w:fldCharType="separate"/>
      </w:r>
      <w:r>
        <w:rPr>
          <w:rStyle w:val="68"/>
          <w:rFonts w:hint="eastAsia" w:ascii="黑体" w:hAnsi="黑体" w:eastAsia="黑体"/>
          <w:b w:val="0"/>
          <w:bCs w:val="0"/>
        </w:rPr>
        <w:t>第一章</w:t>
      </w:r>
      <w:r>
        <w:rPr>
          <w:rStyle w:val="68"/>
          <w:rFonts w:hint="eastAsia" w:ascii="黑体" w:hAnsi="黑体" w:eastAsia="黑体"/>
          <w:b w:val="0"/>
          <w:bCs w:val="0"/>
          <w:lang w:val="en-US" w:eastAsia="zh-CN"/>
        </w:rPr>
        <w:t xml:space="preserve"> </w:t>
      </w:r>
      <w:r>
        <w:rPr>
          <w:rStyle w:val="68"/>
          <w:rFonts w:hint="eastAsia" w:ascii="黑体" w:hAnsi="黑体" w:eastAsia="黑体"/>
          <w:b w:val="0"/>
          <w:bCs w:val="0"/>
        </w:rPr>
        <w:t>招标公告</w:t>
      </w:r>
      <w:r>
        <w:rPr>
          <w:b w:val="0"/>
          <w:bCs w:val="0"/>
        </w:rPr>
        <w:tab/>
      </w:r>
      <w:r>
        <w:rPr>
          <w:b w:val="0"/>
          <w:bCs w:val="0"/>
        </w:rPr>
        <w:fldChar w:fldCharType="begin"/>
      </w:r>
      <w:r>
        <w:rPr>
          <w:b w:val="0"/>
          <w:bCs w:val="0"/>
        </w:rPr>
        <w:instrText xml:space="preserve"> PAGEREF _Toc138689335 \h </w:instrText>
      </w:r>
      <w:r>
        <w:rPr>
          <w:b w:val="0"/>
          <w:bCs w:val="0"/>
        </w:rPr>
        <w:fldChar w:fldCharType="separate"/>
      </w:r>
      <w:r>
        <w:rPr>
          <w:b w:val="0"/>
          <w:bCs w:val="0"/>
        </w:rPr>
        <w:t>3</w:t>
      </w:r>
      <w:r>
        <w:rPr>
          <w:b w:val="0"/>
          <w:bCs w:val="0"/>
        </w:rPr>
        <w:fldChar w:fldCharType="end"/>
      </w:r>
      <w:r>
        <w:rPr>
          <w:b w:val="0"/>
          <w:bCs w:val="0"/>
        </w:rPr>
        <w:fldChar w:fldCharType="end"/>
      </w:r>
    </w:p>
    <w:p>
      <w:pPr>
        <w:pStyle w:val="36"/>
        <w:tabs>
          <w:tab w:val="right" w:leader="dot" w:pos="8296"/>
        </w:tabs>
        <w:ind w:firstLine="42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"_Toc138689336" </w:instrText>
      </w:r>
      <w:r>
        <w:rPr>
          <w:b w:val="0"/>
          <w:bCs w:val="0"/>
        </w:rPr>
        <w:fldChar w:fldCharType="separate"/>
      </w:r>
      <w:r>
        <w:rPr>
          <w:rStyle w:val="68"/>
          <w:rFonts w:hint="eastAsia" w:ascii="黑体" w:hAnsi="黑体" w:eastAsia="黑体" w:cs="黑体"/>
          <w:b w:val="0"/>
          <w:bCs w:val="0"/>
        </w:rPr>
        <w:t>第二章</w:t>
      </w:r>
      <w:r>
        <w:rPr>
          <w:rStyle w:val="68"/>
          <w:rFonts w:hint="eastAsia" w:ascii="黑体" w:hAnsi="黑体" w:eastAsia="黑体" w:cs="黑体"/>
          <w:b w:val="0"/>
          <w:bCs w:val="0"/>
          <w:lang w:val="en-US" w:eastAsia="zh-CN"/>
        </w:rPr>
        <w:t xml:space="preserve"> </w:t>
      </w:r>
      <w:r>
        <w:rPr>
          <w:rStyle w:val="68"/>
          <w:rFonts w:hint="eastAsia" w:ascii="黑体" w:hAnsi="黑体" w:eastAsia="黑体" w:cs="黑体"/>
          <w:b w:val="0"/>
          <w:bCs w:val="0"/>
        </w:rPr>
        <w:t>投标人须知</w:t>
      </w:r>
      <w:r>
        <w:rPr>
          <w:b w:val="0"/>
          <w:bCs w:val="0"/>
        </w:rPr>
        <w:tab/>
      </w:r>
      <w:r>
        <w:rPr>
          <w:b w:val="0"/>
          <w:bCs w:val="0"/>
        </w:rPr>
        <w:fldChar w:fldCharType="begin"/>
      </w:r>
      <w:r>
        <w:rPr>
          <w:b w:val="0"/>
          <w:bCs w:val="0"/>
        </w:rPr>
        <w:instrText xml:space="preserve"> PAGEREF _Toc138689336 \h </w:instrText>
      </w:r>
      <w:r>
        <w:rPr>
          <w:b w:val="0"/>
          <w:bCs w:val="0"/>
        </w:rPr>
        <w:fldChar w:fldCharType="separate"/>
      </w:r>
      <w:r>
        <w:rPr>
          <w:b w:val="0"/>
          <w:bCs w:val="0"/>
        </w:rPr>
        <w:t>9</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"_Toc138689337" </w:instrText>
      </w:r>
      <w:r>
        <w:rPr>
          <w:b w:val="0"/>
          <w:bCs w:val="0"/>
        </w:rPr>
        <w:fldChar w:fldCharType="separate"/>
      </w:r>
      <w:r>
        <w:rPr>
          <w:rStyle w:val="68"/>
          <w:rFonts w:hint="eastAsia" w:eastAsia="黑体"/>
          <w:b w:val="0"/>
          <w:bCs w:val="0"/>
        </w:rPr>
        <w:t>投标人须知前附表</w:t>
      </w:r>
      <w:r>
        <w:rPr>
          <w:b w:val="0"/>
          <w:bCs w:val="0"/>
        </w:rPr>
        <w:tab/>
      </w:r>
      <w:r>
        <w:rPr>
          <w:b w:val="0"/>
          <w:bCs w:val="0"/>
        </w:rPr>
        <w:fldChar w:fldCharType="begin"/>
      </w:r>
      <w:r>
        <w:rPr>
          <w:b w:val="0"/>
          <w:bCs w:val="0"/>
        </w:rPr>
        <w:instrText xml:space="preserve"> PAGEREF _Toc138689337 \h </w:instrText>
      </w:r>
      <w:r>
        <w:rPr>
          <w:b w:val="0"/>
          <w:bCs w:val="0"/>
        </w:rPr>
        <w:fldChar w:fldCharType="separate"/>
      </w:r>
      <w:r>
        <w:rPr>
          <w:b w:val="0"/>
          <w:bCs w:val="0"/>
        </w:rPr>
        <w:t>9</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"_Toc138689338" </w:instrText>
      </w:r>
      <w:r>
        <w:rPr>
          <w:b w:val="0"/>
          <w:bCs w:val="0"/>
        </w:rPr>
        <w:fldChar w:fldCharType="separate"/>
      </w:r>
      <w:r>
        <w:rPr>
          <w:rStyle w:val="68"/>
          <w:rFonts w:hint="eastAsia" w:ascii="黑体" w:hAnsi="黑体" w:eastAsia="黑体"/>
          <w:b w:val="0"/>
          <w:bCs w:val="0"/>
        </w:rPr>
        <w:t>附录</w:t>
      </w:r>
      <w:r>
        <w:rPr>
          <w:rStyle w:val="68"/>
          <w:rFonts w:ascii="黑体" w:hAnsi="黑体" w:eastAsia="黑体"/>
          <w:b w:val="0"/>
          <w:bCs w:val="0"/>
        </w:rPr>
        <w:t xml:space="preserve">1  </w:t>
      </w:r>
      <w:r>
        <w:rPr>
          <w:rStyle w:val="68"/>
          <w:rFonts w:hint="eastAsia" w:ascii="黑体" w:hAnsi="黑体" w:eastAsia="黑体"/>
          <w:b w:val="0"/>
          <w:bCs w:val="0"/>
        </w:rPr>
        <w:t>资格审查条件</w:t>
      </w:r>
      <w:r>
        <w:rPr>
          <w:rStyle w:val="68"/>
          <w:rFonts w:ascii="黑体" w:hAnsi="黑体" w:eastAsia="黑体"/>
          <w:b w:val="0"/>
          <w:bCs w:val="0"/>
        </w:rPr>
        <w:t>(</w:t>
      </w:r>
      <w:r>
        <w:rPr>
          <w:rStyle w:val="68"/>
          <w:rFonts w:hint="eastAsia" w:ascii="黑体" w:hAnsi="黑体" w:eastAsia="黑体"/>
          <w:b w:val="0"/>
          <w:bCs w:val="0"/>
        </w:rPr>
        <w:t>资质最低条件</w:t>
      </w:r>
      <w:r>
        <w:rPr>
          <w:rStyle w:val="68"/>
          <w:rFonts w:ascii="黑体" w:hAnsi="黑体" w:eastAsia="黑体"/>
          <w:b w:val="0"/>
          <w:bCs w:val="0"/>
        </w:rPr>
        <w:t>)</w:t>
      </w:r>
      <w:r>
        <w:rPr>
          <w:b w:val="0"/>
          <w:bCs w:val="0"/>
        </w:rPr>
        <w:tab/>
      </w:r>
      <w:r>
        <w:rPr>
          <w:b w:val="0"/>
          <w:bCs w:val="0"/>
        </w:rPr>
        <w:fldChar w:fldCharType="begin"/>
      </w:r>
      <w:r>
        <w:rPr>
          <w:b w:val="0"/>
          <w:bCs w:val="0"/>
        </w:rPr>
        <w:instrText xml:space="preserve"> PAGEREF _Toc138689338 \h </w:instrText>
      </w:r>
      <w:r>
        <w:rPr>
          <w:b w:val="0"/>
          <w:bCs w:val="0"/>
        </w:rPr>
        <w:fldChar w:fldCharType="separate"/>
      </w:r>
      <w:r>
        <w:rPr>
          <w:b w:val="0"/>
          <w:bCs w:val="0"/>
        </w:rPr>
        <w:t>23</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"_Toc138689339" </w:instrText>
      </w:r>
      <w:r>
        <w:rPr>
          <w:b w:val="0"/>
          <w:bCs w:val="0"/>
        </w:rPr>
        <w:fldChar w:fldCharType="separate"/>
      </w:r>
      <w:r>
        <w:rPr>
          <w:rStyle w:val="68"/>
          <w:rFonts w:hint="eastAsia" w:eastAsia="黑体"/>
          <w:b w:val="0"/>
          <w:bCs w:val="0"/>
        </w:rPr>
        <w:t>附录</w:t>
      </w:r>
      <w:r>
        <w:rPr>
          <w:rStyle w:val="68"/>
          <w:rFonts w:eastAsia="黑体"/>
          <w:b w:val="0"/>
          <w:bCs w:val="0"/>
        </w:rPr>
        <w:t>2</w:t>
      </w:r>
      <w:r>
        <w:rPr>
          <w:rStyle w:val="68"/>
          <w:rFonts w:hint="eastAsia" w:eastAsia="黑体"/>
          <w:b w:val="0"/>
          <w:bCs w:val="0"/>
          <w:lang w:val="en-US" w:eastAsia="zh-CN"/>
        </w:rPr>
        <w:t xml:space="preserve">  </w:t>
      </w:r>
      <w:r>
        <w:rPr>
          <w:rStyle w:val="68"/>
          <w:rFonts w:hint="eastAsia" w:eastAsia="黑体"/>
          <w:b w:val="0"/>
          <w:bCs w:val="0"/>
        </w:rPr>
        <w:t>资格审查条件（财务最低要求）</w:t>
      </w:r>
      <w:r>
        <w:rPr>
          <w:b w:val="0"/>
          <w:bCs w:val="0"/>
        </w:rPr>
        <w:tab/>
      </w:r>
      <w:r>
        <w:rPr>
          <w:b w:val="0"/>
          <w:bCs w:val="0"/>
        </w:rPr>
        <w:fldChar w:fldCharType="begin"/>
      </w:r>
      <w:r>
        <w:rPr>
          <w:b w:val="0"/>
          <w:bCs w:val="0"/>
        </w:rPr>
        <w:instrText xml:space="preserve"> PAGEREF _Toc138689339 \h </w:instrText>
      </w:r>
      <w:r>
        <w:rPr>
          <w:b w:val="0"/>
          <w:bCs w:val="0"/>
        </w:rPr>
        <w:fldChar w:fldCharType="separate"/>
      </w:r>
      <w:r>
        <w:rPr>
          <w:b w:val="0"/>
          <w:bCs w:val="0"/>
        </w:rPr>
        <w:t>24</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"_Toc138689340" </w:instrText>
      </w:r>
      <w:r>
        <w:rPr>
          <w:b w:val="0"/>
          <w:bCs w:val="0"/>
        </w:rPr>
        <w:fldChar w:fldCharType="separate"/>
      </w:r>
      <w:r>
        <w:rPr>
          <w:rStyle w:val="68"/>
          <w:rFonts w:hint="eastAsia" w:eastAsia="黑体"/>
          <w:b w:val="0"/>
          <w:bCs w:val="0"/>
        </w:rPr>
        <w:t>附录</w:t>
      </w:r>
      <w:r>
        <w:rPr>
          <w:rStyle w:val="68"/>
          <w:rFonts w:eastAsia="黑体"/>
          <w:b w:val="0"/>
          <w:bCs w:val="0"/>
        </w:rPr>
        <w:t xml:space="preserve">3  </w:t>
      </w:r>
      <w:r>
        <w:rPr>
          <w:rStyle w:val="68"/>
          <w:rFonts w:hint="eastAsia" w:eastAsia="黑体"/>
          <w:b w:val="0"/>
          <w:bCs w:val="0"/>
        </w:rPr>
        <w:t>资格审查条件</w:t>
      </w:r>
      <w:r>
        <w:rPr>
          <w:rStyle w:val="68"/>
          <w:rFonts w:eastAsia="黑体"/>
          <w:b w:val="0"/>
          <w:bCs w:val="0"/>
        </w:rPr>
        <w:t>(</w:t>
      </w:r>
      <w:r>
        <w:rPr>
          <w:rStyle w:val="68"/>
          <w:rFonts w:hint="eastAsia" w:eastAsia="黑体"/>
          <w:b w:val="0"/>
          <w:bCs w:val="0"/>
        </w:rPr>
        <w:t>业绩最低要求</w:t>
      </w:r>
      <w:r>
        <w:rPr>
          <w:rStyle w:val="68"/>
          <w:rFonts w:eastAsia="黑体"/>
          <w:b w:val="0"/>
          <w:bCs w:val="0"/>
        </w:rPr>
        <w:t>)</w:t>
      </w:r>
      <w:r>
        <w:rPr>
          <w:b w:val="0"/>
          <w:bCs w:val="0"/>
        </w:rPr>
        <w:tab/>
      </w:r>
      <w:r>
        <w:rPr>
          <w:b w:val="0"/>
          <w:bCs w:val="0"/>
        </w:rPr>
        <w:fldChar w:fldCharType="begin"/>
      </w:r>
      <w:r>
        <w:rPr>
          <w:b w:val="0"/>
          <w:bCs w:val="0"/>
        </w:rPr>
        <w:instrText xml:space="preserve"> PAGEREF _Toc138689340 \h </w:instrText>
      </w:r>
      <w:r>
        <w:rPr>
          <w:b w:val="0"/>
          <w:bCs w:val="0"/>
        </w:rPr>
        <w:fldChar w:fldCharType="separate"/>
      </w:r>
      <w:r>
        <w:rPr>
          <w:b w:val="0"/>
          <w:bCs w:val="0"/>
        </w:rPr>
        <w:t>25</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"_Toc138689341" </w:instrText>
      </w:r>
      <w:r>
        <w:rPr>
          <w:b w:val="0"/>
          <w:bCs w:val="0"/>
        </w:rPr>
        <w:fldChar w:fldCharType="separate"/>
      </w:r>
      <w:r>
        <w:rPr>
          <w:rStyle w:val="68"/>
          <w:rFonts w:hint="eastAsia" w:eastAsia="黑体"/>
          <w:b w:val="0"/>
          <w:bCs w:val="0"/>
        </w:rPr>
        <w:t>附录</w:t>
      </w:r>
      <w:r>
        <w:rPr>
          <w:rStyle w:val="68"/>
          <w:rFonts w:eastAsia="黑体"/>
          <w:b w:val="0"/>
          <w:bCs w:val="0"/>
        </w:rPr>
        <w:t>4</w:t>
      </w:r>
      <w:r>
        <w:rPr>
          <w:rStyle w:val="68"/>
          <w:rFonts w:hint="eastAsia" w:eastAsia="黑体"/>
          <w:b w:val="0"/>
          <w:bCs w:val="0"/>
          <w:lang w:val="en-US" w:eastAsia="zh-CN"/>
        </w:rPr>
        <w:t xml:space="preserve">  </w:t>
      </w:r>
      <w:r>
        <w:rPr>
          <w:rStyle w:val="68"/>
          <w:rFonts w:hint="eastAsia" w:eastAsia="黑体"/>
          <w:b w:val="0"/>
          <w:bCs w:val="0"/>
        </w:rPr>
        <w:t>资格审查条件（信誉要求）</w:t>
      </w:r>
      <w:r>
        <w:rPr>
          <w:b w:val="0"/>
          <w:bCs w:val="0"/>
        </w:rPr>
        <w:tab/>
      </w:r>
      <w:r>
        <w:rPr>
          <w:b w:val="0"/>
          <w:bCs w:val="0"/>
        </w:rPr>
        <w:fldChar w:fldCharType="begin"/>
      </w:r>
      <w:r>
        <w:rPr>
          <w:b w:val="0"/>
          <w:bCs w:val="0"/>
        </w:rPr>
        <w:instrText xml:space="preserve"> PAGEREF _Toc138689341 \h </w:instrText>
      </w:r>
      <w:r>
        <w:rPr>
          <w:b w:val="0"/>
          <w:bCs w:val="0"/>
        </w:rPr>
        <w:fldChar w:fldCharType="separate"/>
      </w:r>
      <w:r>
        <w:rPr>
          <w:b w:val="0"/>
          <w:bCs w:val="0"/>
        </w:rPr>
        <w:t>26</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"_Toc138689342" </w:instrText>
      </w:r>
      <w:r>
        <w:rPr>
          <w:b w:val="0"/>
          <w:bCs w:val="0"/>
        </w:rPr>
        <w:fldChar w:fldCharType="separate"/>
      </w:r>
      <w:r>
        <w:rPr>
          <w:rStyle w:val="68"/>
          <w:rFonts w:hint="eastAsia" w:eastAsia="黑体"/>
          <w:b w:val="0"/>
          <w:bCs w:val="0"/>
        </w:rPr>
        <w:t>附录</w:t>
      </w:r>
      <w:r>
        <w:rPr>
          <w:rStyle w:val="68"/>
          <w:rFonts w:eastAsia="黑体"/>
          <w:b w:val="0"/>
          <w:bCs w:val="0"/>
        </w:rPr>
        <w:t xml:space="preserve">5  </w:t>
      </w:r>
      <w:r>
        <w:rPr>
          <w:rStyle w:val="68"/>
          <w:rFonts w:hint="eastAsia" w:eastAsia="黑体"/>
          <w:b w:val="0"/>
          <w:bCs w:val="0"/>
        </w:rPr>
        <w:t>资格审查条件（项目经理和项目总工最低要求）</w:t>
      </w:r>
      <w:r>
        <w:rPr>
          <w:b w:val="0"/>
          <w:bCs w:val="0"/>
        </w:rPr>
        <w:tab/>
      </w:r>
      <w:r>
        <w:rPr>
          <w:b w:val="0"/>
          <w:bCs w:val="0"/>
        </w:rPr>
        <w:fldChar w:fldCharType="begin"/>
      </w:r>
      <w:r>
        <w:rPr>
          <w:b w:val="0"/>
          <w:bCs w:val="0"/>
        </w:rPr>
        <w:instrText xml:space="preserve"> PAGEREF _Toc138689342 \h </w:instrText>
      </w:r>
      <w:r>
        <w:rPr>
          <w:b w:val="0"/>
          <w:bCs w:val="0"/>
        </w:rPr>
        <w:fldChar w:fldCharType="separate"/>
      </w:r>
      <w:r>
        <w:rPr>
          <w:b w:val="0"/>
          <w:bCs w:val="0"/>
        </w:rPr>
        <w:t>27</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"_Toc138689343" </w:instrText>
      </w:r>
      <w:r>
        <w:rPr>
          <w:b w:val="0"/>
          <w:bCs w:val="0"/>
        </w:rPr>
        <w:fldChar w:fldCharType="separate"/>
      </w:r>
      <w:r>
        <w:rPr>
          <w:rStyle w:val="68"/>
          <w:rFonts w:hint="eastAsia" w:eastAsia="黑体"/>
          <w:b w:val="0"/>
          <w:bCs w:val="0"/>
        </w:rPr>
        <w:t>附录</w:t>
      </w:r>
      <w:r>
        <w:rPr>
          <w:rStyle w:val="68"/>
          <w:rFonts w:eastAsia="黑体"/>
          <w:b w:val="0"/>
          <w:bCs w:val="0"/>
        </w:rPr>
        <w:t>6</w:t>
      </w:r>
      <w:r>
        <w:rPr>
          <w:rStyle w:val="68"/>
          <w:rFonts w:hint="eastAsia" w:eastAsia="黑体"/>
          <w:b w:val="0"/>
          <w:bCs w:val="0"/>
          <w:lang w:val="en-US" w:eastAsia="zh-CN"/>
        </w:rPr>
        <w:t xml:space="preserve">  </w:t>
      </w:r>
      <w:r>
        <w:rPr>
          <w:rStyle w:val="68"/>
          <w:rFonts w:hint="eastAsia" w:eastAsia="黑体"/>
          <w:b w:val="0"/>
          <w:bCs w:val="0"/>
        </w:rPr>
        <w:t>资格审查条件（其他管理和技术人员最低要求）</w:t>
      </w:r>
      <w:r>
        <w:rPr>
          <w:b w:val="0"/>
          <w:bCs w:val="0"/>
        </w:rPr>
        <w:tab/>
      </w:r>
      <w:r>
        <w:rPr>
          <w:b w:val="0"/>
          <w:bCs w:val="0"/>
        </w:rPr>
        <w:fldChar w:fldCharType="begin"/>
      </w:r>
      <w:r>
        <w:rPr>
          <w:b w:val="0"/>
          <w:bCs w:val="0"/>
        </w:rPr>
        <w:instrText xml:space="preserve"> PAGEREF _Toc138689343 \h </w:instrText>
      </w:r>
      <w:r>
        <w:rPr>
          <w:b w:val="0"/>
          <w:bCs w:val="0"/>
        </w:rPr>
        <w:fldChar w:fldCharType="separate"/>
      </w:r>
      <w:r>
        <w:rPr>
          <w:b w:val="0"/>
          <w:bCs w:val="0"/>
        </w:rPr>
        <w:t>28</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"_Toc138689344" </w:instrText>
      </w:r>
      <w:r>
        <w:rPr>
          <w:b w:val="0"/>
          <w:bCs w:val="0"/>
        </w:rPr>
        <w:fldChar w:fldCharType="separate"/>
      </w:r>
      <w:r>
        <w:rPr>
          <w:rStyle w:val="68"/>
          <w:rFonts w:hint="eastAsia" w:eastAsia="黑体"/>
          <w:b w:val="0"/>
          <w:bCs w:val="0"/>
        </w:rPr>
        <w:t>附录</w:t>
      </w:r>
      <w:r>
        <w:rPr>
          <w:rStyle w:val="68"/>
          <w:rFonts w:eastAsia="黑体"/>
          <w:b w:val="0"/>
          <w:bCs w:val="0"/>
        </w:rPr>
        <w:t>7</w:t>
      </w:r>
      <w:r>
        <w:rPr>
          <w:rStyle w:val="68"/>
          <w:rFonts w:hint="eastAsia" w:eastAsia="黑体"/>
          <w:b w:val="0"/>
          <w:bCs w:val="0"/>
          <w:lang w:val="en-US" w:eastAsia="zh-CN"/>
        </w:rPr>
        <w:t xml:space="preserve">  </w:t>
      </w:r>
      <w:r>
        <w:rPr>
          <w:rStyle w:val="68"/>
          <w:rFonts w:hint="eastAsia" w:eastAsia="黑体"/>
          <w:b w:val="0"/>
          <w:bCs w:val="0"/>
        </w:rPr>
        <w:t>资格审查条件（主要机械设备和试验检测设备最低要求）</w:t>
      </w:r>
      <w:r>
        <w:rPr>
          <w:b w:val="0"/>
          <w:bCs w:val="0"/>
        </w:rPr>
        <w:tab/>
      </w:r>
      <w:r>
        <w:rPr>
          <w:b w:val="0"/>
          <w:bCs w:val="0"/>
        </w:rPr>
        <w:fldChar w:fldCharType="begin"/>
      </w:r>
      <w:r>
        <w:rPr>
          <w:b w:val="0"/>
          <w:bCs w:val="0"/>
        </w:rPr>
        <w:instrText xml:space="preserve"> PAGEREF _Toc138689344 \h </w:instrText>
      </w:r>
      <w:r>
        <w:rPr>
          <w:b w:val="0"/>
          <w:bCs w:val="0"/>
        </w:rPr>
        <w:fldChar w:fldCharType="separate"/>
      </w:r>
      <w:r>
        <w:rPr>
          <w:b w:val="0"/>
          <w:bCs w:val="0"/>
        </w:rPr>
        <w:t>29</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"_Toc138689345" </w:instrText>
      </w:r>
      <w:r>
        <w:rPr>
          <w:b w:val="0"/>
          <w:bCs w:val="0"/>
        </w:rPr>
        <w:fldChar w:fldCharType="separate"/>
      </w:r>
      <w:r>
        <w:rPr>
          <w:rStyle w:val="68"/>
          <w:rFonts w:hint="eastAsia" w:eastAsia="黑体"/>
          <w:b w:val="0"/>
          <w:bCs w:val="0"/>
        </w:rPr>
        <w:t>附录</w:t>
      </w:r>
      <w:r>
        <w:rPr>
          <w:rStyle w:val="68"/>
          <w:rFonts w:eastAsia="黑体"/>
          <w:b w:val="0"/>
          <w:bCs w:val="0"/>
        </w:rPr>
        <w:t xml:space="preserve">8  </w:t>
      </w:r>
      <w:r>
        <w:rPr>
          <w:rStyle w:val="68"/>
          <w:rFonts w:hint="eastAsia" w:eastAsia="黑体"/>
          <w:b w:val="0"/>
          <w:bCs w:val="0"/>
        </w:rPr>
        <w:t>投标文件制作软件导入已标价工程量清单须知和注意事项</w:t>
      </w:r>
      <w:r>
        <w:rPr>
          <w:b w:val="0"/>
          <w:bCs w:val="0"/>
        </w:rPr>
        <w:tab/>
      </w:r>
      <w:r>
        <w:rPr>
          <w:b w:val="0"/>
          <w:bCs w:val="0"/>
        </w:rPr>
        <w:fldChar w:fldCharType="begin"/>
      </w:r>
      <w:r>
        <w:rPr>
          <w:b w:val="0"/>
          <w:bCs w:val="0"/>
        </w:rPr>
        <w:instrText xml:space="preserve"> PAGEREF _Toc138689345 \h </w:instrText>
      </w:r>
      <w:r>
        <w:rPr>
          <w:b w:val="0"/>
          <w:bCs w:val="0"/>
        </w:rPr>
        <w:fldChar w:fldCharType="separate"/>
      </w:r>
      <w:r>
        <w:rPr>
          <w:b w:val="0"/>
          <w:bCs w:val="0"/>
        </w:rPr>
        <w:t>30</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"_Toc138689346" </w:instrText>
      </w:r>
      <w:r>
        <w:rPr>
          <w:b w:val="0"/>
          <w:bCs w:val="0"/>
        </w:rPr>
        <w:fldChar w:fldCharType="separate"/>
      </w:r>
      <w:r>
        <w:rPr>
          <w:rStyle w:val="68"/>
          <w:rFonts w:hint="eastAsia" w:eastAsia="黑体"/>
          <w:b w:val="0"/>
          <w:bCs w:val="0"/>
        </w:rPr>
        <w:t>投标人须知正文补充细化一览表</w:t>
      </w:r>
      <w:r>
        <w:rPr>
          <w:b w:val="0"/>
          <w:bCs w:val="0"/>
        </w:rPr>
        <w:tab/>
      </w:r>
      <w:r>
        <w:rPr>
          <w:b w:val="0"/>
          <w:bCs w:val="0"/>
        </w:rPr>
        <w:fldChar w:fldCharType="begin"/>
      </w:r>
      <w:r>
        <w:rPr>
          <w:b w:val="0"/>
          <w:bCs w:val="0"/>
        </w:rPr>
        <w:instrText xml:space="preserve"> PAGEREF _Toc138689346 \h </w:instrText>
      </w:r>
      <w:r>
        <w:rPr>
          <w:b w:val="0"/>
          <w:bCs w:val="0"/>
        </w:rPr>
        <w:fldChar w:fldCharType="separate"/>
      </w:r>
      <w:r>
        <w:rPr>
          <w:b w:val="0"/>
          <w:bCs w:val="0"/>
        </w:rPr>
        <w:t>31</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"_Toc138689402" </w:instrText>
      </w:r>
      <w:r>
        <w:rPr>
          <w:b w:val="0"/>
          <w:bCs w:val="0"/>
        </w:rPr>
        <w:fldChar w:fldCharType="separate"/>
      </w:r>
      <w:r>
        <w:rPr>
          <w:rStyle w:val="68"/>
          <w:rFonts w:hint="eastAsia" w:eastAsia="黑体"/>
          <w:b w:val="0"/>
          <w:bCs w:val="0"/>
        </w:rPr>
        <w:t>附件：合肥市公共资源交易电子招标投标操作规程</w:t>
      </w:r>
      <w:r>
        <w:rPr>
          <w:b w:val="0"/>
          <w:bCs w:val="0"/>
        </w:rPr>
        <w:tab/>
      </w:r>
      <w:r>
        <w:rPr>
          <w:b w:val="0"/>
          <w:bCs w:val="0"/>
        </w:rPr>
        <w:fldChar w:fldCharType="begin"/>
      </w:r>
      <w:r>
        <w:rPr>
          <w:b w:val="0"/>
          <w:bCs w:val="0"/>
        </w:rPr>
        <w:instrText xml:space="preserve"> PAGEREF _Toc138689402 \h </w:instrText>
      </w:r>
      <w:r>
        <w:rPr>
          <w:b w:val="0"/>
          <w:bCs w:val="0"/>
        </w:rPr>
        <w:fldChar w:fldCharType="separate"/>
      </w:r>
      <w:r>
        <w:rPr>
          <w:b w:val="0"/>
          <w:bCs w:val="0"/>
        </w:rPr>
        <w:t>53</w:t>
      </w:r>
      <w:r>
        <w:rPr>
          <w:b w:val="0"/>
          <w:bCs w:val="0"/>
        </w:rPr>
        <w:fldChar w:fldCharType="end"/>
      </w:r>
      <w:r>
        <w:rPr>
          <w:b w:val="0"/>
          <w:bCs w:val="0"/>
        </w:rPr>
        <w:fldChar w:fldCharType="end"/>
      </w:r>
    </w:p>
    <w:p>
      <w:pPr>
        <w:pStyle w:val="36"/>
        <w:tabs>
          <w:tab w:val="right" w:leader="dot" w:pos="8296"/>
        </w:tabs>
        <w:ind w:firstLine="42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"_Toc138689403" </w:instrText>
      </w:r>
      <w:r>
        <w:rPr>
          <w:b w:val="0"/>
          <w:bCs w:val="0"/>
        </w:rPr>
        <w:fldChar w:fldCharType="separate"/>
      </w:r>
      <w:r>
        <w:rPr>
          <w:rStyle w:val="68"/>
          <w:rFonts w:hint="eastAsia" w:ascii="黑体" w:hAnsi="黑体" w:eastAsia="黑体" w:cs="黑体"/>
          <w:b w:val="0"/>
          <w:bCs w:val="0"/>
          <w:kern w:val="44"/>
        </w:rPr>
        <w:t>第三章 评标办法</w:t>
      </w:r>
      <w:r>
        <w:rPr>
          <w:b w:val="0"/>
          <w:bCs w:val="0"/>
        </w:rPr>
        <w:tab/>
      </w:r>
      <w:r>
        <w:rPr>
          <w:b w:val="0"/>
          <w:bCs w:val="0"/>
        </w:rPr>
        <w:fldChar w:fldCharType="begin"/>
      </w:r>
      <w:r>
        <w:rPr>
          <w:b w:val="0"/>
          <w:bCs w:val="0"/>
        </w:rPr>
        <w:instrText xml:space="preserve"> PAGEREF _Toc138689403 \h </w:instrText>
      </w:r>
      <w:r>
        <w:rPr>
          <w:b w:val="0"/>
          <w:bCs w:val="0"/>
        </w:rPr>
        <w:fldChar w:fldCharType="separate"/>
      </w:r>
      <w:r>
        <w:rPr>
          <w:b w:val="0"/>
          <w:bCs w:val="0"/>
        </w:rPr>
        <w:t>57</w:t>
      </w:r>
      <w:r>
        <w:rPr>
          <w:b w:val="0"/>
          <w:bCs w:val="0"/>
        </w:rPr>
        <w:fldChar w:fldCharType="end"/>
      </w:r>
      <w:r>
        <w:rPr>
          <w:b w:val="0"/>
          <w:bCs w:val="0"/>
        </w:rPr>
        <w:fldChar w:fldCharType="end"/>
      </w:r>
    </w:p>
    <w:p>
      <w:pPr>
        <w:pStyle w:val="36"/>
        <w:tabs>
          <w:tab w:val="right" w:leader="dot" w:pos="8296"/>
        </w:tabs>
        <w:ind w:firstLine="42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"_Toc138689404" </w:instrText>
      </w:r>
      <w:r>
        <w:rPr>
          <w:b w:val="0"/>
          <w:bCs w:val="0"/>
        </w:rPr>
        <w:fldChar w:fldCharType="separate"/>
      </w:r>
      <w:r>
        <w:rPr>
          <w:rStyle w:val="68"/>
          <w:rFonts w:hint="eastAsia"/>
          <w:b w:val="0"/>
          <w:bCs w:val="0"/>
          <w:kern w:val="44"/>
        </w:rPr>
        <w:t>（技术评分最低标价法）</w:t>
      </w:r>
      <w:r>
        <w:rPr>
          <w:b w:val="0"/>
          <w:bCs w:val="0"/>
        </w:rPr>
        <w:tab/>
      </w:r>
      <w:r>
        <w:rPr>
          <w:b w:val="0"/>
          <w:bCs w:val="0"/>
        </w:rPr>
        <w:fldChar w:fldCharType="begin"/>
      </w:r>
      <w:r>
        <w:rPr>
          <w:b w:val="0"/>
          <w:bCs w:val="0"/>
        </w:rPr>
        <w:instrText xml:space="preserve"> PAGEREF _Toc138689404 \h </w:instrText>
      </w:r>
      <w:r>
        <w:rPr>
          <w:b w:val="0"/>
          <w:bCs w:val="0"/>
        </w:rPr>
        <w:fldChar w:fldCharType="separate"/>
      </w:r>
      <w:r>
        <w:rPr>
          <w:b w:val="0"/>
          <w:bCs w:val="0"/>
        </w:rPr>
        <w:t>57</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"_Toc138689412" </w:instrText>
      </w:r>
      <w:r>
        <w:rPr>
          <w:b w:val="0"/>
          <w:bCs w:val="0"/>
        </w:rPr>
        <w:fldChar w:fldCharType="separate"/>
      </w:r>
      <w:r>
        <w:rPr>
          <w:rStyle w:val="68"/>
          <w:rFonts w:eastAsia="黑体"/>
          <w:b w:val="0"/>
          <w:bCs w:val="0"/>
        </w:rPr>
        <w:t xml:space="preserve">1. </w:t>
      </w:r>
      <w:r>
        <w:rPr>
          <w:rStyle w:val="68"/>
          <w:rFonts w:hint="eastAsia" w:eastAsia="黑体"/>
          <w:b w:val="0"/>
          <w:bCs w:val="0"/>
        </w:rPr>
        <w:t>评标方法</w:t>
      </w:r>
      <w:r>
        <w:rPr>
          <w:b w:val="0"/>
          <w:bCs w:val="0"/>
        </w:rPr>
        <w:tab/>
      </w:r>
      <w:r>
        <w:rPr>
          <w:b w:val="0"/>
          <w:bCs w:val="0"/>
        </w:rPr>
        <w:fldChar w:fldCharType="begin"/>
      </w:r>
      <w:r>
        <w:rPr>
          <w:b w:val="0"/>
          <w:bCs w:val="0"/>
        </w:rPr>
        <w:instrText xml:space="preserve"> PAGEREF _Toc138689412 \h </w:instrText>
      </w:r>
      <w:r>
        <w:rPr>
          <w:b w:val="0"/>
          <w:bCs w:val="0"/>
        </w:rPr>
        <w:fldChar w:fldCharType="separate"/>
      </w:r>
      <w:r>
        <w:rPr>
          <w:b w:val="0"/>
          <w:bCs w:val="0"/>
        </w:rPr>
        <w:t>74</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"_Toc138689413" </w:instrText>
      </w:r>
      <w:r>
        <w:rPr>
          <w:b w:val="0"/>
          <w:bCs w:val="0"/>
        </w:rPr>
        <w:fldChar w:fldCharType="separate"/>
      </w:r>
      <w:r>
        <w:rPr>
          <w:rStyle w:val="68"/>
          <w:rFonts w:eastAsia="黑体"/>
          <w:b w:val="0"/>
          <w:bCs w:val="0"/>
        </w:rPr>
        <w:t xml:space="preserve">2. </w:t>
      </w:r>
      <w:r>
        <w:rPr>
          <w:rStyle w:val="68"/>
          <w:rFonts w:hint="eastAsia" w:eastAsia="黑体"/>
          <w:b w:val="0"/>
          <w:bCs w:val="0"/>
        </w:rPr>
        <w:t>评审标准</w:t>
      </w:r>
      <w:r>
        <w:rPr>
          <w:b w:val="0"/>
          <w:bCs w:val="0"/>
        </w:rPr>
        <w:tab/>
      </w:r>
      <w:r>
        <w:rPr>
          <w:b w:val="0"/>
          <w:bCs w:val="0"/>
        </w:rPr>
        <w:fldChar w:fldCharType="begin"/>
      </w:r>
      <w:r>
        <w:rPr>
          <w:b w:val="0"/>
          <w:bCs w:val="0"/>
        </w:rPr>
        <w:instrText xml:space="preserve"> PAGEREF _Toc138689413 \h </w:instrText>
      </w:r>
      <w:r>
        <w:rPr>
          <w:b w:val="0"/>
          <w:bCs w:val="0"/>
        </w:rPr>
        <w:fldChar w:fldCharType="separate"/>
      </w:r>
      <w:r>
        <w:rPr>
          <w:b w:val="0"/>
          <w:bCs w:val="0"/>
        </w:rPr>
        <w:t>74</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"_Toc138689416" </w:instrText>
      </w:r>
      <w:r>
        <w:rPr>
          <w:b w:val="0"/>
          <w:bCs w:val="0"/>
        </w:rPr>
        <w:fldChar w:fldCharType="separate"/>
      </w:r>
      <w:r>
        <w:rPr>
          <w:rStyle w:val="68"/>
          <w:rFonts w:eastAsia="黑体"/>
          <w:b w:val="0"/>
          <w:bCs w:val="0"/>
        </w:rPr>
        <w:t xml:space="preserve">3. </w:t>
      </w:r>
      <w:r>
        <w:rPr>
          <w:rStyle w:val="68"/>
          <w:rFonts w:hint="eastAsia" w:eastAsia="黑体"/>
          <w:b w:val="0"/>
          <w:bCs w:val="0"/>
        </w:rPr>
        <w:t>评标程序</w:t>
      </w:r>
      <w:r>
        <w:rPr>
          <w:b w:val="0"/>
          <w:bCs w:val="0"/>
        </w:rPr>
        <w:tab/>
      </w:r>
      <w:r>
        <w:rPr>
          <w:b w:val="0"/>
          <w:bCs w:val="0"/>
        </w:rPr>
        <w:fldChar w:fldCharType="begin"/>
      </w:r>
      <w:r>
        <w:rPr>
          <w:b w:val="0"/>
          <w:bCs w:val="0"/>
        </w:rPr>
        <w:instrText xml:space="preserve"> PAGEREF _Toc138689416 \h </w:instrText>
      </w:r>
      <w:r>
        <w:rPr>
          <w:b w:val="0"/>
          <w:bCs w:val="0"/>
        </w:rPr>
        <w:fldChar w:fldCharType="separate"/>
      </w:r>
      <w:r>
        <w:rPr>
          <w:b w:val="0"/>
          <w:bCs w:val="0"/>
        </w:rPr>
        <w:t>75</w:t>
      </w:r>
      <w:r>
        <w:rPr>
          <w:b w:val="0"/>
          <w:bCs w:val="0"/>
        </w:rPr>
        <w:fldChar w:fldCharType="end"/>
      </w:r>
      <w:r>
        <w:rPr>
          <w:b w:val="0"/>
          <w:bCs w:val="0"/>
        </w:rPr>
        <w:fldChar w:fldCharType="end"/>
      </w:r>
    </w:p>
    <w:p>
      <w:pPr>
        <w:pStyle w:val="36"/>
        <w:tabs>
          <w:tab w:val="right" w:leader="dot" w:pos="8296"/>
        </w:tabs>
        <w:ind w:firstLine="42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"_Toc138689426" </w:instrText>
      </w:r>
      <w:r>
        <w:rPr>
          <w:b w:val="0"/>
          <w:bCs w:val="0"/>
        </w:rPr>
        <w:fldChar w:fldCharType="separate"/>
      </w:r>
      <w:r>
        <w:rPr>
          <w:rStyle w:val="68"/>
          <w:rFonts w:hint="eastAsia" w:eastAsia="黑体"/>
          <w:b w:val="0"/>
          <w:bCs w:val="0"/>
          <w:kern w:val="44"/>
        </w:rPr>
        <w:t>第四章</w:t>
      </w:r>
      <w:r>
        <w:rPr>
          <w:rStyle w:val="68"/>
          <w:rFonts w:hint="eastAsia" w:eastAsia="黑体"/>
          <w:b w:val="0"/>
          <w:bCs w:val="0"/>
          <w:kern w:val="44"/>
          <w:lang w:val="en-US" w:eastAsia="zh-CN"/>
        </w:rPr>
        <w:t xml:space="preserve"> </w:t>
      </w:r>
      <w:r>
        <w:rPr>
          <w:rStyle w:val="68"/>
          <w:rFonts w:hint="eastAsia" w:eastAsia="黑体"/>
          <w:b w:val="0"/>
          <w:bCs w:val="0"/>
          <w:kern w:val="44"/>
        </w:rPr>
        <w:t>合同条款及格式</w:t>
      </w:r>
      <w:r>
        <w:rPr>
          <w:b w:val="0"/>
          <w:bCs w:val="0"/>
        </w:rPr>
        <w:tab/>
      </w:r>
      <w:r>
        <w:rPr>
          <w:b w:val="0"/>
          <w:bCs w:val="0"/>
        </w:rPr>
        <w:fldChar w:fldCharType="begin"/>
      </w:r>
      <w:r>
        <w:rPr>
          <w:b w:val="0"/>
          <w:bCs w:val="0"/>
        </w:rPr>
        <w:instrText xml:space="preserve"> PAGEREF _Toc138689426 \h </w:instrText>
      </w:r>
      <w:r>
        <w:rPr>
          <w:b w:val="0"/>
          <w:bCs w:val="0"/>
        </w:rPr>
        <w:fldChar w:fldCharType="separate"/>
      </w:r>
      <w:r>
        <w:rPr>
          <w:b w:val="0"/>
          <w:bCs w:val="0"/>
        </w:rPr>
        <w:t>80</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"_Toc138689427" </w:instrText>
      </w:r>
      <w:r>
        <w:rPr>
          <w:b w:val="0"/>
          <w:bCs w:val="0"/>
        </w:rPr>
        <w:fldChar w:fldCharType="separate"/>
      </w:r>
      <w:r>
        <w:rPr>
          <w:rStyle w:val="68"/>
          <w:rFonts w:hint="eastAsia" w:eastAsia="黑体"/>
          <w:b w:val="0"/>
          <w:bCs w:val="0"/>
        </w:rPr>
        <w:t>第一节</w:t>
      </w:r>
      <w:r>
        <w:rPr>
          <w:rStyle w:val="68"/>
          <w:rFonts w:eastAsia="黑体"/>
          <w:b w:val="0"/>
          <w:bCs w:val="0"/>
        </w:rPr>
        <w:t xml:space="preserve">  </w:t>
      </w:r>
      <w:r>
        <w:rPr>
          <w:rStyle w:val="68"/>
          <w:rFonts w:hint="eastAsia" w:eastAsia="黑体"/>
          <w:b w:val="0"/>
          <w:bCs w:val="0"/>
        </w:rPr>
        <w:t>通用合同条款</w:t>
      </w:r>
      <w:r>
        <w:rPr>
          <w:b w:val="0"/>
          <w:bCs w:val="0"/>
        </w:rPr>
        <w:tab/>
      </w:r>
      <w:r>
        <w:rPr>
          <w:b w:val="0"/>
          <w:bCs w:val="0"/>
        </w:rPr>
        <w:fldChar w:fldCharType="begin"/>
      </w:r>
      <w:r>
        <w:rPr>
          <w:b w:val="0"/>
          <w:bCs w:val="0"/>
        </w:rPr>
        <w:instrText xml:space="preserve"> PAGEREF _Toc138689427 \h </w:instrText>
      </w:r>
      <w:r>
        <w:rPr>
          <w:b w:val="0"/>
          <w:bCs w:val="0"/>
        </w:rPr>
        <w:fldChar w:fldCharType="separate"/>
      </w:r>
      <w:r>
        <w:rPr>
          <w:b w:val="0"/>
          <w:bCs w:val="0"/>
        </w:rPr>
        <w:t>81</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"_Toc138689428" </w:instrText>
      </w:r>
      <w:r>
        <w:rPr>
          <w:b w:val="0"/>
          <w:bCs w:val="0"/>
        </w:rPr>
        <w:fldChar w:fldCharType="separate"/>
      </w:r>
      <w:r>
        <w:rPr>
          <w:rStyle w:val="68"/>
          <w:rFonts w:hint="eastAsia" w:eastAsia="黑体"/>
          <w:b w:val="0"/>
          <w:bCs w:val="0"/>
        </w:rPr>
        <w:t>第二节</w:t>
      </w:r>
      <w:r>
        <w:rPr>
          <w:rStyle w:val="68"/>
          <w:rFonts w:eastAsia="黑体"/>
          <w:b w:val="0"/>
          <w:bCs w:val="0"/>
        </w:rPr>
        <w:t xml:space="preserve">  </w:t>
      </w:r>
      <w:r>
        <w:rPr>
          <w:rStyle w:val="68"/>
          <w:rFonts w:hint="eastAsia" w:eastAsia="黑体"/>
          <w:b w:val="0"/>
          <w:bCs w:val="0"/>
        </w:rPr>
        <w:t>专用合同条款</w:t>
      </w:r>
      <w:r>
        <w:rPr>
          <w:b w:val="0"/>
          <w:bCs w:val="0"/>
        </w:rPr>
        <w:tab/>
      </w:r>
      <w:r>
        <w:rPr>
          <w:b w:val="0"/>
          <w:bCs w:val="0"/>
        </w:rPr>
        <w:fldChar w:fldCharType="begin"/>
      </w:r>
      <w:r>
        <w:rPr>
          <w:b w:val="0"/>
          <w:bCs w:val="0"/>
        </w:rPr>
        <w:instrText xml:space="preserve"> PAGEREF _Toc138689428 \h </w:instrText>
      </w:r>
      <w:r>
        <w:rPr>
          <w:b w:val="0"/>
          <w:bCs w:val="0"/>
        </w:rPr>
        <w:fldChar w:fldCharType="separate"/>
      </w:r>
      <w:r>
        <w:rPr>
          <w:b w:val="0"/>
          <w:bCs w:val="0"/>
        </w:rPr>
        <w:t>82</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"_Toc138689431" </w:instrText>
      </w:r>
      <w:r>
        <w:rPr>
          <w:b w:val="0"/>
          <w:bCs w:val="0"/>
        </w:rPr>
        <w:fldChar w:fldCharType="separate"/>
      </w:r>
      <w:r>
        <w:rPr>
          <w:rStyle w:val="68"/>
          <w:rFonts w:hint="eastAsia" w:eastAsia="黑体"/>
          <w:b w:val="0"/>
          <w:bCs w:val="0"/>
        </w:rPr>
        <w:t>第三节</w:t>
      </w:r>
      <w:r>
        <w:rPr>
          <w:rStyle w:val="68"/>
          <w:rFonts w:eastAsia="黑体"/>
          <w:b w:val="0"/>
          <w:bCs w:val="0"/>
        </w:rPr>
        <w:t xml:space="preserve">  </w:t>
      </w:r>
      <w:r>
        <w:rPr>
          <w:rStyle w:val="68"/>
          <w:rFonts w:hint="eastAsia" w:eastAsia="黑体"/>
          <w:b w:val="0"/>
          <w:bCs w:val="0"/>
        </w:rPr>
        <w:t>合同附件格式</w:t>
      </w:r>
      <w:r>
        <w:rPr>
          <w:b w:val="0"/>
          <w:bCs w:val="0"/>
        </w:rPr>
        <w:tab/>
      </w:r>
      <w:r>
        <w:rPr>
          <w:b w:val="0"/>
          <w:bCs w:val="0"/>
        </w:rPr>
        <w:fldChar w:fldCharType="begin"/>
      </w:r>
      <w:r>
        <w:rPr>
          <w:b w:val="0"/>
          <w:bCs w:val="0"/>
        </w:rPr>
        <w:instrText xml:space="preserve"> PAGEREF _Toc138689431 \h </w:instrText>
      </w:r>
      <w:r>
        <w:rPr>
          <w:b w:val="0"/>
          <w:bCs w:val="0"/>
        </w:rPr>
        <w:fldChar w:fldCharType="separate"/>
      </w:r>
      <w:r>
        <w:rPr>
          <w:b w:val="0"/>
          <w:bCs w:val="0"/>
        </w:rPr>
        <w:t>100</w:t>
      </w:r>
      <w:r>
        <w:rPr>
          <w:b w:val="0"/>
          <w:bCs w:val="0"/>
        </w:rPr>
        <w:fldChar w:fldCharType="end"/>
      </w:r>
      <w:r>
        <w:rPr>
          <w:b w:val="0"/>
          <w:bCs w:val="0"/>
        </w:rPr>
        <w:fldChar w:fldCharType="end"/>
      </w:r>
    </w:p>
    <w:p>
      <w:pPr>
        <w:pStyle w:val="36"/>
        <w:tabs>
          <w:tab w:val="right" w:leader="dot" w:pos="8296"/>
        </w:tabs>
        <w:ind w:firstLine="42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"_Toc138689441" </w:instrText>
      </w:r>
      <w:r>
        <w:rPr>
          <w:b w:val="0"/>
          <w:bCs w:val="0"/>
        </w:rPr>
        <w:fldChar w:fldCharType="separate"/>
      </w:r>
      <w:r>
        <w:rPr>
          <w:rStyle w:val="68"/>
          <w:rFonts w:hint="eastAsia" w:eastAsia="黑体"/>
          <w:b w:val="0"/>
          <w:bCs w:val="0"/>
          <w:kern w:val="44"/>
        </w:rPr>
        <w:t>第五章</w:t>
      </w:r>
      <w:r>
        <w:rPr>
          <w:rStyle w:val="68"/>
          <w:rFonts w:hint="eastAsia" w:eastAsia="黑体"/>
          <w:b w:val="0"/>
          <w:bCs w:val="0"/>
          <w:kern w:val="44"/>
          <w:lang w:val="en-US" w:eastAsia="zh-CN"/>
        </w:rPr>
        <w:t xml:space="preserve"> </w:t>
      </w:r>
      <w:r>
        <w:rPr>
          <w:rStyle w:val="68"/>
          <w:rFonts w:hint="eastAsia" w:eastAsia="黑体"/>
          <w:b w:val="0"/>
          <w:bCs w:val="0"/>
          <w:kern w:val="44"/>
        </w:rPr>
        <w:t>工程量清单</w:t>
      </w:r>
      <w:r>
        <w:rPr>
          <w:b w:val="0"/>
          <w:bCs w:val="0"/>
        </w:rPr>
        <w:tab/>
      </w:r>
      <w:r>
        <w:rPr>
          <w:b w:val="0"/>
          <w:bCs w:val="0"/>
        </w:rPr>
        <w:fldChar w:fldCharType="begin"/>
      </w:r>
      <w:r>
        <w:rPr>
          <w:b w:val="0"/>
          <w:bCs w:val="0"/>
        </w:rPr>
        <w:instrText xml:space="preserve"> PAGEREF _Toc138689441 \h </w:instrText>
      </w:r>
      <w:r>
        <w:rPr>
          <w:b w:val="0"/>
          <w:bCs w:val="0"/>
        </w:rPr>
        <w:fldChar w:fldCharType="separate"/>
      </w:r>
      <w:r>
        <w:rPr>
          <w:b w:val="0"/>
          <w:bCs w:val="0"/>
        </w:rPr>
        <w:t>115</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"_Toc138689442" </w:instrText>
      </w:r>
      <w:r>
        <w:rPr>
          <w:b w:val="0"/>
          <w:bCs w:val="0"/>
        </w:rPr>
        <w:fldChar w:fldCharType="separate"/>
      </w:r>
      <w:r>
        <w:rPr>
          <w:rStyle w:val="68"/>
          <w:rFonts w:eastAsia="黑体"/>
          <w:b w:val="0"/>
          <w:bCs w:val="0"/>
        </w:rPr>
        <w:t xml:space="preserve">1. </w:t>
      </w:r>
      <w:r>
        <w:rPr>
          <w:rStyle w:val="68"/>
          <w:rFonts w:hint="eastAsia" w:eastAsia="黑体"/>
          <w:b w:val="0"/>
          <w:bCs w:val="0"/>
        </w:rPr>
        <w:t>工程量清单说明（单价合同）</w:t>
      </w:r>
      <w:r>
        <w:rPr>
          <w:b w:val="0"/>
          <w:bCs w:val="0"/>
        </w:rPr>
        <w:tab/>
      </w:r>
      <w:r>
        <w:rPr>
          <w:b w:val="0"/>
          <w:bCs w:val="0"/>
        </w:rPr>
        <w:fldChar w:fldCharType="begin"/>
      </w:r>
      <w:r>
        <w:rPr>
          <w:b w:val="0"/>
          <w:bCs w:val="0"/>
        </w:rPr>
        <w:instrText xml:space="preserve"> PAGEREF _Toc138689442 \h </w:instrText>
      </w:r>
      <w:r>
        <w:rPr>
          <w:b w:val="0"/>
          <w:bCs w:val="0"/>
        </w:rPr>
        <w:fldChar w:fldCharType="separate"/>
      </w:r>
      <w:r>
        <w:rPr>
          <w:b w:val="0"/>
          <w:bCs w:val="0"/>
        </w:rPr>
        <w:t>115</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"_Toc138689443" </w:instrText>
      </w:r>
      <w:r>
        <w:rPr>
          <w:b w:val="0"/>
          <w:bCs w:val="0"/>
        </w:rPr>
        <w:fldChar w:fldCharType="separate"/>
      </w:r>
      <w:r>
        <w:rPr>
          <w:rStyle w:val="68"/>
          <w:rFonts w:eastAsia="黑体"/>
          <w:b w:val="0"/>
          <w:bCs w:val="0"/>
        </w:rPr>
        <w:t xml:space="preserve">1. </w:t>
      </w:r>
      <w:r>
        <w:rPr>
          <w:rStyle w:val="68"/>
          <w:rFonts w:hint="eastAsia" w:eastAsia="黑体"/>
          <w:b w:val="0"/>
          <w:bCs w:val="0"/>
        </w:rPr>
        <w:t>工程量清单说明（总价合同）</w:t>
      </w:r>
      <w:r>
        <w:rPr>
          <w:b w:val="0"/>
          <w:bCs w:val="0"/>
        </w:rPr>
        <w:tab/>
      </w:r>
      <w:r>
        <w:rPr>
          <w:b w:val="0"/>
          <w:bCs w:val="0"/>
        </w:rPr>
        <w:fldChar w:fldCharType="begin"/>
      </w:r>
      <w:r>
        <w:rPr>
          <w:b w:val="0"/>
          <w:bCs w:val="0"/>
        </w:rPr>
        <w:instrText xml:space="preserve"> PAGEREF _Toc138689443 \h </w:instrText>
      </w:r>
      <w:r>
        <w:rPr>
          <w:b w:val="0"/>
          <w:bCs w:val="0"/>
        </w:rPr>
        <w:fldChar w:fldCharType="separate"/>
      </w:r>
      <w:r>
        <w:rPr>
          <w:b w:val="0"/>
          <w:bCs w:val="0"/>
        </w:rPr>
        <w:t>116</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"_Toc138689444" </w:instrText>
      </w:r>
      <w:r>
        <w:rPr>
          <w:b w:val="0"/>
          <w:bCs w:val="0"/>
        </w:rPr>
        <w:fldChar w:fldCharType="separate"/>
      </w:r>
      <w:r>
        <w:rPr>
          <w:rStyle w:val="68"/>
          <w:rFonts w:eastAsia="黑体"/>
          <w:b w:val="0"/>
          <w:bCs w:val="0"/>
        </w:rPr>
        <w:t xml:space="preserve">2. </w:t>
      </w:r>
      <w:r>
        <w:rPr>
          <w:rStyle w:val="68"/>
          <w:rFonts w:hint="eastAsia" w:eastAsia="黑体"/>
          <w:b w:val="0"/>
          <w:bCs w:val="0"/>
        </w:rPr>
        <w:t>投标报价说明</w:t>
      </w:r>
      <w:r>
        <w:rPr>
          <w:b w:val="0"/>
          <w:bCs w:val="0"/>
        </w:rPr>
        <w:tab/>
      </w:r>
      <w:r>
        <w:rPr>
          <w:b w:val="0"/>
          <w:bCs w:val="0"/>
        </w:rPr>
        <w:fldChar w:fldCharType="begin"/>
      </w:r>
      <w:r>
        <w:rPr>
          <w:b w:val="0"/>
          <w:bCs w:val="0"/>
        </w:rPr>
        <w:instrText xml:space="preserve"> PAGEREF _Toc138689444 \h </w:instrText>
      </w:r>
      <w:r>
        <w:rPr>
          <w:b w:val="0"/>
          <w:bCs w:val="0"/>
        </w:rPr>
        <w:fldChar w:fldCharType="separate"/>
      </w:r>
      <w:r>
        <w:rPr>
          <w:b w:val="0"/>
          <w:bCs w:val="0"/>
        </w:rPr>
        <w:t>117</w:t>
      </w:r>
      <w:r>
        <w:rPr>
          <w:b w:val="0"/>
          <w:bCs w:val="0"/>
        </w:rPr>
        <w:fldChar w:fldCharType="end"/>
      </w:r>
      <w:r>
        <w:rPr>
          <w:b w:val="0"/>
          <w:bCs w:val="0"/>
        </w:rPr>
        <w:fldChar w:fldCharType="end"/>
      </w:r>
    </w:p>
    <w:p>
      <w:pPr>
        <w:pStyle w:val="47"/>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"_Toc138689445" </w:instrText>
      </w:r>
      <w:r>
        <w:rPr>
          <w:b w:val="0"/>
          <w:bCs w:val="0"/>
        </w:rPr>
        <w:fldChar w:fldCharType="separate"/>
      </w:r>
      <w:r>
        <w:rPr>
          <w:rStyle w:val="68"/>
          <w:rFonts w:eastAsia="黑体"/>
          <w:b w:val="0"/>
          <w:bCs w:val="0"/>
        </w:rPr>
        <w:t xml:space="preserve">3. </w:t>
      </w:r>
      <w:r>
        <w:rPr>
          <w:rStyle w:val="68"/>
          <w:rFonts w:hint="eastAsia" w:eastAsia="黑体"/>
          <w:b w:val="0"/>
          <w:bCs w:val="0"/>
        </w:rPr>
        <w:t>计日工说明（单价合同）</w:t>
      </w:r>
      <w:r>
        <w:rPr>
          <w:b w:val="0"/>
          <w:bCs w:val="0"/>
        </w:rPr>
        <w:tab/>
      </w:r>
      <w:r>
        <w:rPr>
          <w:b w:val="0"/>
          <w:bCs w:val="0"/>
        </w:rPr>
        <w:fldChar w:fldCharType="begin"/>
      </w:r>
      <w:r>
        <w:rPr>
          <w:b w:val="0"/>
          <w:bCs w:val="0"/>
        </w:rPr>
        <w:instrText xml:space="preserve"> PAGEREF _Toc138689445 \h </w:instrText>
      </w:r>
      <w:r>
        <w:rPr>
          <w:b w:val="0"/>
          <w:bCs w:val="0"/>
        </w:rPr>
        <w:fldChar w:fldCharType="separate"/>
      </w:r>
      <w:r>
        <w:rPr>
          <w:b w:val="0"/>
          <w:bCs w:val="0"/>
        </w:rPr>
        <w:t>117</w:t>
      </w:r>
      <w:r>
        <w:rPr>
          <w:b w:val="0"/>
          <w:bCs w:val="0"/>
        </w:rPr>
        <w:fldChar w:fldCharType="end"/>
      </w:r>
      <w:r>
        <w:rPr>
          <w:b w:val="0"/>
          <w:bCs w:val="0"/>
        </w:rPr>
        <w:fldChar w:fldCharType="end"/>
      </w:r>
    </w:p>
    <w:p>
      <w:pPr>
        <w:pStyle w:val="36"/>
        <w:tabs>
          <w:tab w:val="right" w:leader="dot" w:pos="8296"/>
        </w:tabs>
        <w:ind w:firstLine="840" w:firstLineChars="40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"_Toc138689446" </w:instrText>
      </w:r>
      <w:r>
        <w:rPr>
          <w:b w:val="0"/>
          <w:bCs w:val="0"/>
        </w:rPr>
        <w:fldChar w:fldCharType="separate"/>
      </w:r>
      <w:r>
        <w:rPr>
          <w:rStyle w:val="68"/>
          <w:rFonts w:eastAsia="黑体"/>
          <w:b w:val="0"/>
          <w:bCs w:val="0"/>
        </w:rPr>
        <w:t xml:space="preserve">4. </w:t>
      </w:r>
      <w:r>
        <w:rPr>
          <w:rStyle w:val="68"/>
          <w:rFonts w:hint="eastAsia" w:eastAsia="黑体"/>
          <w:b w:val="0"/>
          <w:bCs w:val="0"/>
        </w:rPr>
        <w:t>其他说明</w:t>
      </w:r>
      <w:r>
        <w:rPr>
          <w:b w:val="0"/>
          <w:bCs w:val="0"/>
        </w:rPr>
        <w:tab/>
      </w:r>
      <w:r>
        <w:rPr>
          <w:b w:val="0"/>
          <w:bCs w:val="0"/>
        </w:rPr>
        <w:fldChar w:fldCharType="begin"/>
      </w:r>
      <w:r>
        <w:rPr>
          <w:b w:val="0"/>
          <w:bCs w:val="0"/>
        </w:rPr>
        <w:instrText xml:space="preserve"> PAGEREF _Toc138689446 \h </w:instrText>
      </w:r>
      <w:r>
        <w:rPr>
          <w:b w:val="0"/>
          <w:bCs w:val="0"/>
        </w:rPr>
        <w:fldChar w:fldCharType="separate"/>
      </w:r>
      <w:r>
        <w:rPr>
          <w:b w:val="0"/>
          <w:bCs w:val="0"/>
        </w:rPr>
        <w:t>119</w:t>
      </w:r>
      <w:r>
        <w:rPr>
          <w:b w:val="0"/>
          <w:bCs w:val="0"/>
        </w:rPr>
        <w:fldChar w:fldCharType="end"/>
      </w:r>
      <w:r>
        <w:rPr>
          <w:b w:val="0"/>
          <w:bCs w:val="0"/>
        </w:rPr>
        <w:fldChar w:fldCharType="end"/>
      </w:r>
    </w:p>
    <w:p>
      <w:pPr>
        <w:pStyle w:val="36"/>
        <w:tabs>
          <w:tab w:val="right" w:leader="dot" w:pos="8296"/>
        </w:tabs>
        <w:ind w:firstLine="42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"_Toc138689447" </w:instrText>
      </w:r>
      <w:r>
        <w:rPr>
          <w:b w:val="0"/>
          <w:bCs w:val="0"/>
        </w:rPr>
        <w:fldChar w:fldCharType="separate"/>
      </w:r>
      <w:r>
        <w:rPr>
          <w:rStyle w:val="68"/>
          <w:rFonts w:hint="eastAsia" w:eastAsia="黑体"/>
          <w:b w:val="0"/>
          <w:bCs w:val="0"/>
          <w:kern w:val="44"/>
        </w:rPr>
        <w:t>第六章</w:t>
      </w:r>
      <w:r>
        <w:rPr>
          <w:rStyle w:val="68"/>
          <w:rFonts w:hint="eastAsia" w:eastAsia="黑体"/>
          <w:b w:val="0"/>
          <w:bCs w:val="0"/>
          <w:kern w:val="44"/>
          <w:lang w:val="en-US" w:eastAsia="zh-CN"/>
        </w:rPr>
        <w:t xml:space="preserve"> </w:t>
      </w:r>
      <w:r>
        <w:rPr>
          <w:rStyle w:val="68"/>
          <w:rFonts w:hint="eastAsia" w:eastAsia="黑体"/>
          <w:b w:val="0"/>
          <w:bCs w:val="0"/>
          <w:kern w:val="44"/>
        </w:rPr>
        <w:t>图纸（另册）</w:t>
      </w:r>
      <w:r>
        <w:rPr>
          <w:b w:val="0"/>
          <w:bCs w:val="0"/>
        </w:rPr>
        <w:tab/>
      </w:r>
      <w:r>
        <w:rPr>
          <w:b w:val="0"/>
          <w:bCs w:val="0"/>
        </w:rPr>
        <w:fldChar w:fldCharType="begin"/>
      </w:r>
      <w:r>
        <w:rPr>
          <w:b w:val="0"/>
          <w:bCs w:val="0"/>
        </w:rPr>
        <w:instrText xml:space="preserve"> PAGEREF _Toc138689447 \h </w:instrText>
      </w:r>
      <w:r>
        <w:rPr>
          <w:b w:val="0"/>
          <w:bCs w:val="0"/>
        </w:rPr>
        <w:fldChar w:fldCharType="separate"/>
      </w:r>
      <w:r>
        <w:rPr>
          <w:b w:val="0"/>
          <w:bCs w:val="0"/>
        </w:rPr>
        <w:t>120</w:t>
      </w:r>
      <w:r>
        <w:rPr>
          <w:b w:val="0"/>
          <w:bCs w:val="0"/>
        </w:rPr>
        <w:fldChar w:fldCharType="end"/>
      </w:r>
      <w:r>
        <w:rPr>
          <w:b w:val="0"/>
          <w:bCs w:val="0"/>
        </w:rPr>
        <w:fldChar w:fldCharType="end"/>
      </w:r>
    </w:p>
    <w:p>
      <w:pPr>
        <w:pStyle w:val="36"/>
        <w:tabs>
          <w:tab w:val="right" w:leader="dot" w:pos="8296"/>
        </w:tabs>
        <w:ind w:firstLine="42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"_Toc138689448" </w:instrText>
      </w:r>
      <w:r>
        <w:rPr>
          <w:b w:val="0"/>
          <w:bCs w:val="0"/>
        </w:rPr>
        <w:fldChar w:fldCharType="separate"/>
      </w:r>
      <w:r>
        <w:rPr>
          <w:rStyle w:val="68"/>
          <w:rFonts w:hint="eastAsia" w:eastAsia="黑体"/>
          <w:b w:val="0"/>
          <w:bCs w:val="0"/>
          <w:kern w:val="44"/>
        </w:rPr>
        <w:t>第七章</w:t>
      </w:r>
      <w:r>
        <w:rPr>
          <w:rStyle w:val="68"/>
          <w:rFonts w:hint="eastAsia" w:eastAsia="黑体"/>
          <w:b w:val="0"/>
          <w:bCs w:val="0"/>
          <w:kern w:val="44"/>
          <w:lang w:val="en-US" w:eastAsia="zh-CN"/>
        </w:rPr>
        <w:t xml:space="preserve"> </w:t>
      </w:r>
      <w:r>
        <w:rPr>
          <w:rStyle w:val="68"/>
          <w:rFonts w:hint="eastAsia" w:eastAsia="黑体"/>
          <w:b w:val="0"/>
          <w:bCs w:val="0"/>
          <w:kern w:val="44"/>
        </w:rPr>
        <w:t>技术规范</w:t>
      </w:r>
      <w:r>
        <w:rPr>
          <w:b w:val="0"/>
          <w:bCs w:val="0"/>
        </w:rPr>
        <w:tab/>
      </w:r>
      <w:r>
        <w:rPr>
          <w:b w:val="0"/>
          <w:bCs w:val="0"/>
        </w:rPr>
        <w:fldChar w:fldCharType="begin"/>
      </w:r>
      <w:r>
        <w:rPr>
          <w:b w:val="0"/>
          <w:bCs w:val="0"/>
        </w:rPr>
        <w:instrText xml:space="preserve"> PAGEREF _Toc138689448 \h </w:instrText>
      </w:r>
      <w:r>
        <w:rPr>
          <w:b w:val="0"/>
          <w:bCs w:val="0"/>
        </w:rPr>
        <w:fldChar w:fldCharType="separate"/>
      </w:r>
      <w:r>
        <w:rPr>
          <w:b w:val="0"/>
          <w:bCs w:val="0"/>
        </w:rPr>
        <w:t>121</w:t>
      </w:r>
      <w:r>
        <w:rPr>
          <w:b w:val="0"/>
          <w:bCs w:val="0"/>
        </w:rPr>
        <w:fldChar w:fldCharType="end"/>
      </w:r>
      <w:r>
        <w:rPr>
          <w:b w:val="0"/>
          <w:bCs w:val="0"/>
        </w:rPr>
        <w:fldChar w:fldCharType="end"/>
      </w:r>
    </w:p>
    <w:p>
      <w:pPr>
        <w:pStyle w:val="36"/>
        <w:tabs>
          <w:tab w:val="right" w:leader="dot" w:pos="8296"/>
        </w:tabs>
        <w:ind w:firstLine="42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"_Toc138689449" </w:instrText>
      </w:r>
      <w:r>
        <w:rPr>
          <w:b w:val="0"/>
          <w:bCs w:val="0"/>
        </w:rPr>
        <w:fldChar w:fldCharType="separate"/>
      </w:r>
      <w:r>
        <w:rPr>
          <w:rStyle w:val="68"/>
          <w:rFonts w:hint="eastAsia" w:eastAsia="黑体"/>
          <w:b w:val="0"/>
          <w:bCs w:val="0"/>
          <w:kern w:val="44"/>
        </w:rPr>
        <w:t>第八章</w:t>
      </w:r>
      <w:r>
        <w:rPr>
          <w:rStyle w:val="68"/>
          <w:rFonts w:hint="eastAsia" w:eastAsia="黑体"/>
          <w:b w:val="0"/>
          <w:bCs w:val="0"/>
          <w:kern w:val="44"/>
          <w:lang w:val="en-US" w:eastAsia="zh-CN"/>
        </w:rPr>
        <w:t xml:space="preserve"> </w:t>
      </w:r>
      <w:r>
        <w:rPr>
          <w:rStyle w:val="68"/>
          <w:rFonts w:hint="eastAsia" w:eastAsia="黑体"/>
          <w:b w:val="0"/>
          <w:bCs w:val="0"/>
          <w:kern w:val="44"/>
        </w:rPr>
        <w:t>工程量清单计量规则</w:t>
      </w:r>
      <w:r>
        <w:rPr>
          <w:b w:val="0"/>
          <w:bCs w:val="0"/>
        </w:rPr>
        <w:tab/>
      </w:r>
      <w:r>
        <w:rPr>
          <w:b w:val="0"/>
          <w:bCs w:val="0"/>
        </w:rPr>
        <w:fldChar w:fldCharType="begin"/>
      </w:r>
      <w:r>
        <w:rPr>
          <w:b w:val="0"/>
          <w:bCs w:val="0"/>
        </w:rPr>
        <w:instrText xml:space="preserve"> PAGEREF _Toc138689449 \h </w:instrText>
      </w:r>
      <w:r>
        <w:rPr>
          <w:b w:val="0"/>
          <w:bCs w:val="0"/>
        </w:rPr>
        <w:fldChar w:fldCharType="separate"/>
      </w:r>
      <w:r>
        <w:rPr>
          <w:b w:val="0"/>
          <w:bCs w:val="0"/>
        </w:rPr>
        <w:t>122</w:t>
      </w:r>
      <w:r>
        <w:rPr>
          <w:b w:val="0"/>
          <w:bCs w:val="0"/>
        </w:rPr>
        <w:fldChar w:fldCharType="end"/>
      </w:r>
      <w:r>
        <w:rPr>
          <w:b w:val="0"/>
          <w:bCs w:val="0"/>
        </w:rPr>
        <w:fldChar w:fldCharType="end"/>
      </w:r>
    </w:p>
    <w:p>
      <w:pPr>
        <w:pStyle w:val="36"/>
        <w:tabs>
          <w:tab w:val="right" w:leader="dot" w:pos="8296"/>
        </w:tabs>
        <w:ind w:firstLine="420"/>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"_Toc138689450" </w:instrText>
      </w:r>
      <w:r>
        <w:rPr>
          <w:b w:val="0"/>
          <w:bCs w:val="0"/>
        </w:rPr>
        <w:fldChar w:fldCharType="separate"/>
      </w:r>
      <w:r>
        <w:rPr>
          <w:rStyle w:val="68"/>
          <w:rFonts w:hint="eastAsia" w:eastAsia="黑体"/>
          <w:b w:val="0"/>
          <w:bCs w:val="0"/>
          <w:kern w:val="44"/>
        </w:rPr>
        <w:t>第九章</w:t>
      </w:r>
      <w:r>
        <w:rPr>
          <w:rStyle w:val="68"/>
          <w:rFonts w:hint="eastAsia" w:eastAsia="黑体"/>
          <w:b w:val="0"/>
          <w:bCs w:val="0"/>
          <w:kern w:val="44"/>
          <w:lang w:val="en-US" w:eastAsia="zh-CN"/>
        </w:rPr>
        <w:t xml:space="preserve"> </w:t>
      </w:r>
      <w:r>
        <w:rPr>
          <w:rStyle w:val="68"/>
          <w:rFonts w:hint="eastAsia" w:eastAsia="黑体"/>
          <w:b w:val="0"/>
          <w:bCs w:val="0"/>
          <w:kern w:val="44"/>
        </w:rPr>
        <w:t>投标文件格式</w:t>
      </w:r>
      <w:r>
        <w:rPr>
          <w:b w:val="0"/>
          <w:bCs w:val="0"/>
        </w:rPr>
        <w:tab/>
      </w:r>
      <w:r>
        <w:rPr>
          <w:b w:val="0"/>
          <w:bCs w:val="0"/>
        </w:rPr>
        <w:fldChar w:fldCharType="begin"/>
      </w:r>
      <w:r>
        <w:rPr>
          <w:b w:val="0"/>
          <w:bCs w:val="0"/>
        </w:rPr>
        <w:instrText xml:space="preserve"> PAGEREF _Toc138689450 \h </w:instrText>
      </w:r>
      <w:r>
        <w:rPr>
          <w:b w:val="0"/>
          <w:bCs w:val="0"/>
        </w:rPr>
        <w:fldChar w:fldCharType="separate"/>
      </w:r>
      <w:r>
        <w:rPr>
          <w:b w:val="0"/>
          <w:bCs w:val="0"/>
        </w:rPr>
        <w:t>123</w:t>
      </w:r>
      <w:r>
        <w:rPr>
          <w:b w:val="0"/>
          <w:bCs w:val="0"/>
        </w:rPr>
        <w:fldChar w:fldCharType="end"/>
      </w:r>
      <w:r>
        <w:rPr>
          <w:b w:val="0"/>
          <w:bCs w:val="0"/>
        </w:rPr>
        <w:fldChar w:fldCharType="end"/>
      </w:r>
    </w:p>
    <w:p>
      <w:pPr>
        <w:pStyle w:val="47"/>
        <w:rPr>
          <w:rStyle w:val="68"/>
          <w:rFonts w:hint="eastAsia" w:eastAsia="黑体"/>
          <w:b w:val="0"/>
          <w:bCs w:val="0"/>
        </w:rPr>
      </w:pPr>
      <w:r>
        <w:rPr>
          <w:rStyle w:val="68"/>
          <w:rFonts w:hint="eastAsia" w:eastAsia="黑体"/>
          <w:b w:val="0"/>
          <w:bCs w:val="0"/>
        </w:rPr>
        <w:fldChar w:fldCharType="begin"/>
      </w:r>
      <w:r>
        <w:rPr>
          <w:rStyle w:val="68"/>
          <w:rFonts w:hint="eastAsia" w:eastAsia="黑体"/>
          <w:b w:val="0"/>
          <w:bCs w:val="0"/>
        </w:rPr>
        <w:instrText xml:space="preserve"> HYPERLINK \l "_Toc138689451" </w:instrText>
      </w:r>
      <w:r>
        <w:rPr>
          <w:rStyle w:val="68"/>
          <w:rFonts w:hint="eastAsia" w:eastAsia="黑体"/>
          <w:b w:val="0"/>
          <w:bCs w:val="0"/>
        </w:rPr>
        <w:fldChar w:fldCharType="separate"/>
      </w:r>
      <w:r>
        <w:rPr>
          <w:rStyle w:val="68"/>
          <w:rFonts w:hint="eastAsia" w:eastAsia="黑体"/>
          <w:b w:val="0"/>
          <w:bCs w:val="0"/>
        </w:rPr>
        <w:t>投标文件 （商务文件）</w:t>
      </w:r>
      <w:r>
        <w:rPr>
          <w:rStyle w:val="68"/>
          <w:rFonts w:hint="eastAsia" w:eastAsia="黑体"/>
          <w:b w:val="0"/>
          <w:bCs w:val="0"/>
        </w:rPr>
        <w:tab/>
      </w:r>
      <w:r>
        <w:rPr>
          <w:rStyle w:val="68"/>
          <w:rFonts w:hint="eastAsia" w:eastAsia="黑体"/>
          <w:b w:val="0"/>
          <w:bCs w:val="0"/>
        </w:rPr>
        <w:fldChar w:fldCharType="begin"/>
      </w:r>
      <w:r>
        <w:rPr>
          <w:rStyle w:val="68"/>
          <w:rFonts w:hint="eastAsia" w:eastAsia="黑体"/>
          <w:b w:val="0"/>
          <w:bCs w:val="0"/>
        </w:rPr>
        <w:instrText xml:space="preserve"> PAGEREF _Toc138689451 \h </w:instrText>
      </w:r>
      <w:r>
        <w:rPr>
          <w:rStyle w:val="68"/>
          <w:rFonts w:hint="eastAsia" w:eastAsia="黑体"/>
          <w:b w:val="0"/>
          <w:bCs w:val="0"/>
        </w:rPr>
        <w:fldChar w:fldCharType="separate"/>
      </w:r>
      <w:r>
        <w:rPr>
          <w:rStyle w:val="68"/>
          <w:rFonts w:hint="eastAsia" w:eastAsia="黑体"/>
          <w:b w:val="0"/>
          <w:bCs w:val="0"/>
        </w:rPr>
        <w:t>124</w:t>
      </w:r>
      <w:r>
        <w:rPr>
          <w:rStyle w:val="68"/>
          <w:rFonts w:hint="eastAsia" w:eastAsia="黑体"/>
          <w:b w:val="0"/>
          <w:bCs w:val="0"/>
        </w:rPr>
        <w:fldChar w:fldCharType="end"/>
      </w:r>
      <w:r>
        <w:rPr>
          <w:rStyle w:val="68"/>
          <w:rFonts w:hint="eastAsia" w:eastAsia="黑体"/>
          <w:b w:val="0"/>
          <w:bCs w:val="0"/>
        </w:rPr>
        <w:fldChar w:fldCharType="end"/>
      </w:r>
    </w:p>
    <w:p>
      <w:pPr>
        <w:pStyle w:val="47"/>
        <w:rPr>
          <w:rStyle w:val="68"/>
          <w:rFonts w:hint="eastAsia" w:eastAsia="黑体"/>
          <w:b w:val="0"/>
          <w:bCs w:val="0"/>
        </w:rPr>
      </w:pPr>
      <w:r>
        <w:rPr>
          <w:rStyle w:val="68"/>
          <w:rFonts w:hint="eastAsia" w:eastAsia="黑体"/>
          <w:b w:val="0"/>
          <w:bCs w:val="0"/>
        </w:rPr>
        <w:fldChar w:fldCharType="begin"/>
      </w:r>
      <w:r>
        <w:rPr>
          <w:rStyle w:val="68"/>
          <w:rFonts w:hint="eastAsia" w:eastAsia="黑体"/>
          <w:b w:val="0"/>
          <w:bCs w:val="0"/>
        </w:rPr>
        <w:instrText xml:space="preserve"> HYPERLINK \l "_Toc138689466" </w:instrText>
      </w:r>
      <w:r>
        <w:rPr>
          <w:rStyle w:val="68"/>
          <w:rFonts w:hint="eastAsia" w:eastAsia="黑体"/>
          <w:b w:val="0"/>
          <w:bCs w:val="0"/>
        </w:rPr>
        <w:fldChar w:fldCharType="separate"/>
      </w:r>
      <w:r>
        <w:rPr>
          <w:rStyle w:val="68"/>
          <w:rFonts w:hint="eastAsia" w:eastAsia="黑体"/>
          <w:b w:val="0"/>
          <w:bCs w:val="0"/>
        </w:rPr>
        <w:t>投标文件 （技术文件）</w:t>
      </w:r>
      <w:r>
        <w:rPr>
          <w:rStyle w:val="68"/>
          <w:rFonts w:hint="eastAsia" w:eastAsia="黑体"/>
          <w:b w:val="0"/>
          <w:bCs w:val="0"/>
        </w:rPr>
        <w:tab/>
      </w:r>
      <w:r>
        <w:rPr>
          <w:rStyle w:val="68"/>
          <w:rFonts w:hint="eastAsia" w:eastAsia="黑体"/>
          <w:b w:val="0"/>
          <w:bCs w:val="0"/>
        </w:rPr>
        <w:fldChar w:fldCharType="begin"/>
      </w:r>
      <w:r>
        <w:rPr>
          <w:rStyle w:val="68"/>
          <w:rFonts w:hint="eastAsia" w:eastAsia="黑体"/>
          <w:b w:val="0"/>
          <w:bCs w:val="0"/>
        </w:rPr>
        <w:instrText xml:space="preserve"> PAGEREF _Toc138689466 \h </w:instrText>
      </w:r>
      <w:r>
        <w:rPr>
          <w:rStyle w:val="68"/>
          <w:rFonts w:hint="eastAsia" w:eastAsia="黑体"/>
          <w:b w:val="0"/>
          <w:bCs w:val="0"/>
        </w:rPr>
        <w:fldChar w:fldCharType="separate"/>
      </w:r>
      <w:r>
        <w:rPr>
          <w:rStyle w:val="68"/>
          <w:rFonts w:hint="eastAsia" w:eastAsia="黑体"/>
          <w:b w:val="0"/>
          <w:bCs w:val="0"/>
        </w:rPr>
        <w:t>161</w:t>
      </w:r>
      <w:r>
        <w:rPr>
          <w:rStyle w:val="68"/>
          <w:rFonts w:hint="eastAsia" w:eastAsia="黑体"/>
          <w:b w:val="0"/>
          <w:bCs w:val="0"/>
        </w:rPr>
        <w:fldChar w:fldCharType="end"/>
      </w:r>
      <w:r>
        <w:rPr>
          <w:rStyle w:val="68"/>
          <w:rFonts w:hint="eastAsia" w:eastAsia="黑体"/>
          <w:b w:val="0"/>
          <w:bCs w:val="0"/>
        </w:rPr>
        <w:fldChar w:fldCharType="end"/>
      </w:r>
    </w:p>
    <w:p>
      <w:pPr>
        <w:pStyle w:val="47"/>
        <w:rPr>
          <w:rStyle w:val="68"/>
          <w:rFonts w:hint="eastAsia" w:eastAsia="黑体"/>
          <w:b w:val="0"/>
          <w:bCs w:val="0"/>
        </w:rPr>
      </w:pPr>
      <w:r>
        <w:rPr>
          <w:rStyle w:val="68"/>
          <w:rFonts w:hint="eastAsia" w:eastAsia="黑体"/>
          <w:b w:val="0"/>
          <w:bCs w:val="0"/>
        </w:rPr>
        <w:fldChar w:fldCharType="begin"/>
      </w:r>
      <w:r>
        <w:rPr>
          <w:rStyle w:val="68"/>
          <w:rFonts w:hint="eastAsia" w:eastAsia="黑体"/>
          <w:b w:val="0"/>
          <w:bCs w:val="0"/>
        </w:rPr>
        <w:instrText xml:space="preserve"> HYPERLINK \l "_Toc138689472" </w:instrText>
      </w:r>
      <w:r>
        <w:rPr>
          <w:rStyle w:val="68"/>
          <w:rFonts w:hint="eastAsia" w:eastAsia="黑体"/>
          <w:b w:val="0"/>
          <w:bCs w:val="0"/>
        </w:rPr>
        <w:fldChar w:fldCharType="separate"/>
      </w:r>
      <w:r>
        <w:rPr>
          <w:rStyle w:val="68"/>
          <w:rFonts w:hint="eastAsia" w:eastAsia="黑体"/>
          <w:b w:val="0"/>
          <w:bCs w:val="0"/>
        </w:rPr>
        <w:t>投标文件 （报价文件）</w:t>
      </w:r>
      <w:r>
        <w:rPr>
          <w:rStyle w:val="68"/>
          <w:rFonts w:hint="eastAsia" w:eastAsia="黑体"/>
          <w:b w:val="0"/>
          <w:bCs w:val="0"/>
        </w:rPr>
        <w:tab/>
      </w:r>
      <w:r>
        <w:rPr>
          <w:rStyle w:val="68"/>
          <w:rFonts w:hint="eastAsia" w:eastAsia="黑体"/>
          <w:b w:val="0"/>
          <w:bCs w:val="0"/>
        </w:rPr>
        <w:fldChar w:fldCharType="begin"/>
      </w:r>
      <w:r>
        <w:rPr>
          <w:rStyle w:val="68"/>
          <w:rFonts w:hint="eastAsia" w:eastAsia="黑体"/>
          <w:b w:val="0"/>
          <w:bCs w:val="0"/>
        </w:rPr>
        <w:instrText xml:space="preserve"> PAGEREF _Toc138689472 \h </w:instrText>
      </w:r>
      <w:r>
        <w:rPr>
          <w:rStyle w:val="68"/>
          <w:rFonts w:hint="eastAsia" w:eastAsia="黑体"/>
          <w:b w:val="0"/>
          <w:bCs w:val="0"/>
        </w:rPr>
        <w:fldChar w:fldCharType="separate"/>
      </w:r>
      <w:r>
        <w:rPr>
          <w:rStyle w:val="68"/>
          <w:rFonts w:hint="eastAsia" w:eastAsia="黑体"/>
          <w:b w:val="0"/>
          <w:bCs w:val="0"/>
        </w:rPr>
        <w:t>174</w:t>
      </w:r>
      <w:r>
        <w:rPr>
          <w:rStyle w:val="68"/>
          <w:rFonts w:hint="eastAsia" w:eastAsia="黑体"/>
          <w:b w:val="0"/>
          <w:bCs w:val="0"/>
        </w:rPr>
        <w:fldChar w:fldCharType="end"/>
      </w:r>
      <w:r>
        <w:rPr>
          <w:rStyle w:val="68"/>
          <w:rFonts w:hint="eastAsia" w:eastAsia="黑体"/>
          <w:b w:val="0"/>
          <w:bCs w:val="0"/>
        </w:rPr>
        <w:fldChar w:fldCharType="end"/>
      </w:r>
    </w:p>
    <w:p>
      <w:pPr>
        <w:pStyle w:val="36"/>
        <w:tabs>
          <w:tab w:val="right" w:leader="dot" w:pos="8296"/>
        </w:tabs>
        <w:ind w:firstLine="420"/>
      </w:pPr>
      <w:r>
        <w:rPr>
          <w:rStyle w:val="68"/>
          <w:rFonts w:eastAsia="黑体"/>
          <w:color w:val="auto"/>
          <w:kern w:val="44"/>
        </w:rPr>
        <w:fldChar w:fldCharType="end"/>
      </w:r>
    </w:p>
    <w:p>
      <w:pPr>
        <w:ind w:firstLine="0" w:firstLineChars="0"/>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numRestart w:val="eachPage"/>
          </w:footnotePr>
          <w:pgSz w:w="11906" w:h="16838"/>
          <w:pgMar w:top="1440" w:right="1800" w:bottom="1440" w:left="1800" w:header="851" w:footer="992" w:gutter="0"/>
          <w:cols w:space="720" w:num="1"/>
          <w:docGrid w:type="lines" w:linePitch="312" w:charSpace="0"/>
        </w:sectPr>
      </w:pPr>
    </w:p>
    <w:p>
      <w:pPr>
        <w:pStyle w:val="4"/>
        <w:numPr>
          <w:ilvl w:val="0"/>
          <w:numId w:val="1"/>
        </w:numPr>
        <w:spacing w:before="0" w:after="0" w:line="360" w:lineRule="auto"/>
        <w:ind w:firstLineChars="0"/>
        <w:jc w:val="center"/>
        <w:rPr>
          <w:rFonts w:ascii="黑体" w:hAnsi="黑体" w:eastAsia="黑体"/>
          <w:b w:val="0"/>
          <w:sz w:val="32"/>
          <w:szCs w:val="32"/>
        </w:rPr>
      </w:pPr>
      <w:bookmarkStart w:id="0" w:name="_Toc138689335"/>
      <w:bookmarkStart w:id="1" w:name="_Toc28799331"/>
      <w:r>
        <w:rPr>
          <w:rFonts w:hint="eastAsia" w:ascii="黑体" w:hAnsi="黑体" w:eastAsia="黑体"/>
          <w:b w:val="0"/>
          <w:sz w:val="32"/>
          <w:szCs w:val="32"/>
        </w:rPr>
        <w:t>招标公告</w:t>
      </w:r>
      <w:bookmarkEnd w:id="0"/>
      <w:bookmarkEnd w:id="1"/>
    </w:p>
    <w:p>
      <w:pPr>
        <w:widowControl/>
        <w:spacing w:beforeAutospacing="1" w:afterAutospacing="1" w:line="560" w:lineRule="exact"/>
        <w:ind w:firstLine="0" w:firstLineChars="0"/>
        <w:jc w:val="center"/>
        <w:rPr>
          <w:rFonts w:asciiTheme="majorEastAsia" w:hAnsiTheme="majorEastAsia" w:eastAsiaTheme="majorEastAsia" w:cstheme="majorEastAsia"/>
          <w:b/>
          <w:bCs/>
          <w:color w:val="333333"/>
          <w:kern w:val="0"/>
          <w:sz w:val="44"/>
          <w:szCs w:val="44"/>
          <w:highlight w:val="none"/>
        </w:rPr>
      </w:pPr>
      <w:bookmarkStart w:id="2" w:name="OLE_LINK7"/>
      <w:bookmarkStart w:id="3" w:name="OLE_LINK12"/>
      <w:bookmarkStart w:id="4" w:name="OLE_LINK11"/>
      <w:bookmarkStart w:id="5" w:name="OLE_LINK29"/>
      <w:bookmarkStart w:id="6" w:name="OLE_LINK10"/>
      <w:bookmarkStart w:id="7" w:name="OLE_LINK8"/>
      <w:bookmarkStart w:id="8" w:name="OLE_LINK14"/>
      <w:bookmarkStart w:id="9" w:name="OLE_LINK9"/>
      <w:bookmarkStart w:id="10" w:name="OLE_LINK13"/>
      <w:bookmarkStart w:id="11" w:name="OLE_LINK5"/>
      <w:r>
        <w:rPr>
          <w:rFonts w:hint="eastAsia" w:asciiTheme="majorEastAsia" w:hAnsiTheme="majorEastAsia" w:eastAsiaTheme="majorEastAsia" w:cstheme="majorEastAsia"/>
          <w:b/>
          <w:bCs/>
          <w:color w:val="333333"/>
          <w:kern w:val="0"/>
          <w:sz w:val="44"/>
          <w:szCs w:val="44"/>
          <w:highlight w:val="none"/>
          <w:lang w:eastAsia="zh-CN"/>
        </w:rPr>
        <w:t>肥东县2025年农村公路提质改造工程（桥头集镇）</w:t>
      </w:r>
      <w:r>
        <w:rPr>
          <w:rFonts w:hint="eastAsia" w:asciiTheme="majorEastAsia" w:hAnsiTheme="majorEastAsia" w:eastAsiaTheme="majorEastAsia" w:cstheme="majorEastAsia"/>
          <w:b/>
          <w:bCs/>
          <w:color w:val="333333"/>
          <w:kern w:val="0"/>
          <w:sz w:val="44"/>
          <w:szCs w:val="44"/>
          <w:highlight w:val="none"/>
        </w:rPr>
        <w:t>招标公告</w:t>
      </w:r>
    </w:p>
    <w:p>
      <w:pPr>
        <w:widowControl/>
        <w:spacing w:line="560" w:lineRule="exact"/>
        <w:ind w:firstLine="0" w:firstLineChars="0"/>
        <w:jc w:val="left"/>
        <w:rPr>
          <w:rFonts w:ascii="黑体" w:hAnsi="宋体" w:eastAsia="黑体" w:cs="黑体"/>
          <w:bCs/>
          <w:color w:val="333333"/>
          <w:kern w:val="0"/>
          <w:sz w:val="28"/>
          <w:szCs w:val="28"/>
          <w:highlight w:val="none"/>
        </w:rPr>
      </w:pPr>
      <w:r>
        <w:rPr>
          <w:rFonts w:hint="eastAsia" w:ascii="黑体" w:hAnsi="宋体" w:eastAsia="黑体" w:cs="黑体"/>
          <w:bCs/>
          <w:color w:val="333333"/>
          <w:kern w:val="0"/>
          <w:sz w:val="28"/>
          <w:szCs w:val="28"/>
          <w:highlight w:val="none"/>
        </w:rPr>
        <w:t>1. 招标条件</w:t>
      </w:r>
      <w:r>
        <w:rPr>
          <w:rFonts w:hint="eastAsia" w:ascii="宋体" w:hAnsi="宋体" w:cs="宋体"/>
          <w:kern w:val="0"/>
          <w:sz w:val="24"/>
          <w:highlight w:val="none"/>
        </w:rPr>
        <w:t xml:space="preserve"> </w:t>
      </w:r>
    </w:p>
    <w:p>
      <w:pPr>
        <w:widowControl/>
        <w:spacing w:line="560" w:lineRule="exact"/>
        <w:ind w:firstLine="560"/>
        <w:jc w:val="left"/>
        <w:rPr>
          <w:rFonts w:ascii="宋体" w:hAnsi="宋体" w:cs="宋体"/>
          <w:kern w:val="0"/>
          <w:sz w:val="24"/>
          <w:highlight w:val="none"/>
        </w:rPr>
      </w:pPr>
      <w:r>
        <w:rPr>
          <w:rFonts w:ascii="仿宋" w:hAnsi="仿宋" w:eastAsia="仿宋" w:cs="仿宋"/>
          <w:color w:val="333333"/>
          <w:kern w:val="0"/>
          <w:sz w:val="28"/>
          <w:szCs w:val="28"/>
          <w:highlight w:val="none"/>
        </w:rPr>
        <w:t>1.1 项目名称：</w:t>
      </w:r>
      <w:r>
        <w:rPr>
          <w:rFonts w:hint="eastAsia" w:ascii="仿宋" w:hAnsi="仿宋" w:eastAsia="仿宋" w:cs="仿宋"/>
          <w:color w:val="333333"/>
          <w:kern w:val="0"/>
          <w:sz w:val="28"/>
          <w:szCs w:val="28"/>
          <w:highlight w:val="none"/>
          <w:lang w:eastAsia="zh-CN"/>
        </w:rPr>
        <w:t>肥东县2025年农村公路提质改造工程（桥头集镇）</w:t>
      </w:r>
      <w:r>
        <w:rPr>
          <w:rFonts w:hint="eastAsia" w:ascii="宋体" w:hAnsi="宋体" w:cs="宋体"/>
          <w:kern w:val="0"/>
          <w:sz w:val="24"/>
          <w:highlight w:val="none"/>
        </w:rPr>
        <w:t xml:space="preserve"> </w:t>
      </w:r>
    </w:p>
    <w:p>
      <w:pPr>
        <w:widowControl/>
        <w:spacing w:line="560" w:lineRule="exact"/>
        <w:ind w:firstLine="560"/>
        <w:jc w:val="left"/>
        <w:rPr>
          <w:rFonts w:hint="default"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rPr>
        <w:t>1.2 项目审批、核准或备案机关名称：</w:t>
      </w:r>
      <w:r>
        <w:rPr>
          <w:rFonts w:hint="eastAsia" w:ascii="仿宋" w:hAnsi="仿宋" w:eastAsia="仿宋" w:cs="仿宋"/>
          <w:color w:val="333333"/>
          <w:kern w:val="0"/>
          <w:sz w:val="28"/>
          <w:szCs w:val="28"/>
          <w:highlight w:val="none"/>
          <w:lang w:val="en-US" w:eastAsia="zh-CN"/>
        </w:rPr>
        <w:t>肥东县发展和改革委员会</w:t>
      </w:r>
    </w:p>
    <w:p>
      <w:pPr>
        <w:widowControl/>
        <w:spacing w:line="560" w:lineRule="exact"/>
        <w:ind w:firstLine="56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1.3 批文名称及编号：</w:t>
      </w:r>
      <w:r>
        <w:rPr>
          <w:rFonts w:hint="eastAsia" w:ascii="仿宋" w:hAnsi="仿宋" w:eastAsia="仿宋" w:cs="仿宋"/>
          <w:color w:val="333333"/>
          <w:kern w:val="0"/>
          <w:sz w:val="28"/>
          <w:szCs w:val="28"/>
          <w:highlight w:val="none"/>
          <w:lang w:val="en-US" w:eastAsia="zh-CN"/>
        </w:rPr>
        <w:t>关于同意肥东县2025年农村公路提质改造工程项目立项的复函</w:t>
      </w:r>
      <w:r>
        <w:rPr>
          <w:rFonts w:hint="eastAsia" w:ascii="仿宋" w:hAnsi="仿宋" w:eastAsia="仿宋" w:cs="仿宋"/>
          <w:color w:val="333333"/>
          <w:kern w:val="0"/>
          <w:sz w:val="28"/>
          <w:szCs w:val="28"/>
          <w:highlight w:val="none"/>
        </w:rPr>
        <w:t>，</w:t>
      </w:r>
      <w:r>
        <w:rPr>
          <w:rFonts w:hint="eastAsia" w:ascii="仿宋" w:hAnsi="仿宋" w:eastAsia="仿宋" w:cs="仿宋"/>
          <w:color w:val="333333"/>
          <w:kern w:val="0"/>
          <w:sz w:val="28"/>
          <w:szCs w:val="28"/>
          <w:highlight w:val="none"/>
          <w:lang w:val="en-US" w:eastAsia="zh-CN"/>
        </w:rPr>
        <w:t>发改投</w:t>
      </w:r>
      <w:r>
        <w:rPr>
          <w:rFonts w:hint="eastAsia" w:ascii="仿宋" w:hAnsi="仿宋" w:eastAsia="仿宋" w:cs="仿宋"/>
          <w:color w:val="333333"/>
          <w:kern w:val="0"/>
          <w:sz w:val="28"/>
          <w:szCs w:val="28"/>
          <w:highlight w:val="none"/>
        </w:rPr>
        <w:t>〔202</w:t>
      </w:r>
      <w:r>
        <w:rPr>
          <w:rFonts w:hint="eastAsia" w:ascii="仿宋" w:hAnsi="仿宋" w:eastAsia="仿宋" w:cs="仿宋"/>
          <w:color w:val="333333"/>
          <w:kern w:val="0"/>
          <w:sz w:val="28"/>
          <w:szCs w:val="28"/>
          <w:highlight w:val="none"/>
          <w:lang w:val="en-US" w:eastAsia="zh-CN"/>
        </w:rPr>
        <w:t>5</w:t>
      </w:r>
      <w:r>
        <w:rPr>
          <w:rFonts w:hint="eastAsia" w:ascii="仿宋" w:hAnsi="仿宋" w:eastAsia="仿宋" w:cs="仿宋"/>
          <w:color w:val="333333"/>
          <w:kern w:val="0"/>
          <w:sz w:val="28"/>
          <w:szCs w:val="28"/>
          <w:highlight w:val="none"/>
        </w:rPr>
        <w:t>〕</w:t>
      </w:r>
      <w:r>
        <w:rPr>
          <w:rFonts w:hint="eastAsia" w:ascii="仿宋" w:hAnsi="仿宋" w:eastAsia="仿宋" w:cs="仿宋"/>
          <w:color w:val="333333"/>
          <w:kern w:val="0"/>
          <w:sz w:val="28"/>
          <w:szCs w:val="28"/>
          <w:highlight w:val="none"/>
          <w:lang w:val="en-US" w:eastAsia="zh-CN"/>
        </w:rPr>
        <w:t>167</w:t>
      </w:r>
      <w:r>
        <w:rPr>
          <w:rFonts w:hint="eastAsia" w:ascii="仿宋" w:hAnsi="仿宋" w:eastAsia="仿宋" w:cs="仿宋"/>
          <w:color w:val="333333"/>
          <w:kern w:val="0"/>
          <w:sz w:val="28"/>
          <w:szCs w:val="28"/>
          <w:highlight w:val="none"/>
        </w:rPr>
        <w:t>号</w:t>
      </w:r>
    </w:p>
    <w:p>
      <w:pPr>
        <w:widowControl/>
        <w:spacing w:line="560" w:lineRule="exact"/>
        <w:ind w:firstLine="560"/>
        <w:jc w:val="left"/>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1.4 招标人：</w:t>
      </w:r>
      <w:r>
        <w:rPr>
          <w:rFonts w:hint="eastAsia" w:ascii="仿宋" w:hAnsi="仿宋" w:eastAsia="仿宋" w:cs="仿宋"/>
          <w:color w:val="333333"/>
          <w:kern w:val="0"/>
          <w:sz w:val="28"/>
          <w:szCs w:val="28"/>
          <w:highlight w:val="none"/>
          <w:lang w:eastAsia="zh-CN"/>
        </w:rPr>
        <w:t>肥东县桥头集镇人民政府</w:t>
      </w:r>
    </w:p>
    <w:p>
      <w:pPr>
        <w:widowControl/>
        <w:spacing w:line="560" w:lineRule="exact"/>
        <w:ind w:firstLine="560"/>
        <w:jc w:val="left"/>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1.5 项目业主：</w:t>
      </w:r>
      <w:r>
        <w:rPr>
          <w:rFonts w:hint="eastAsia" w:ascii="仿宋" w:hAnsi="仿宋" w:eastAsia="仿宋" w:cs="仿宋"/>
          <w:color w:val="333333"/>
          <w:kern w:val="0"/>
          <w:sz w:val="28"/>
          <w:szCs w:val="28"/>
          <w:highlight w:val="none"/>
          <w:lang w:eastAsia="zh-CN"/>
        </w:rPr>
        <w:t>肥东县桥头集镇人民政府</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1.6 资金来源：政府投资</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1.7 项目出资比例：100%</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1.8 资金落实情况:已落实</w:t>
      </w:r>
    </w:p>
    <w:p>
      <w:pPr>
        <w:widowControl/>
        <w:spacing w:line="560" w:lineRule="exact"/>
        <w:ind w:firstLine="0" w:firstLineChars="0"/>
        <w:jc w:val="left"/>
        <w:outlineLvl w:val="0"/>
        <w:rPr>
          <w:rFonts w:ascii="黑体" w:hAnsi="宋体" w:eastAsia="黑体" w:cs="黑体"/>
          <w:bCs/>
          <w:color w:val="333333"/>
          <w:kern w:val="0"/>
          <w:sz w:val="28"/>
          <w:szCs w:val="28"/>
        </w:rPr>
      </w:pPr>
      <w:r>
        <w:rPr>
          <w:rFonts w:hint="eastAsia" w:ascii="黑体" w:hAnsi="宋体" w:eastAsia="黑体" w:cs="黑体"/>
          <w:bCs/>
          <w:color w:val="333333"/>
          <w:kern w:val="0"/>
          <w:sz w:val="28"/>
          <w:szCs w:val="28"/>
        </w:rPr>
        <w:t>2. 项目概况与招标范围</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2.1</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招标项目编号：</w:t>
      </w:r>
    </w:p>
    <w:p>
      <w:pPr>
        <w:widowControl/>
        <w:spacing w:line="560" w:lineRule="exact"/>
        <w:ind w:firstLine="560"/>
        <w:jc w:val="left"/>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rPr>
        <w:t>2.2</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招标项目名称：</w:t>
      </w:r>
      <w:r>
        <w:rPr>
          <w:rFonts w:hint="eastAsia" w:ascii="仿宋" w:hAnsi="仿宋" w:eastAsia="仿宋" w:cs="仿宋"/>
          <w:color w:val="333333"/>
          <w:kern w:val="0"/>
          <w:sz w:val="28"/>
          <w:szCs w:val="28"/>
          <w:highlight w:val="none"/>
          <w:lang w:eastAsia="zh-CN"/>
        </w:rPr>
        <w:t>肥东县2025年农村公路提质改造工程（桥头集镇）</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highlight w:val="none"/>
        </w:rPr>
        <w:t>2.3</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标段划分：本招标项目共划分1个标段</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2.4</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招标项目标段编号：</w:t>
      </w:r>
    </w:p>
    <w:p>
      <w:pPr>
        <w:widowControl/>
        <w:spacing w:line="560" w:lineRule="exact"/>
        <w:ind w:firstLine="56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2.5</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建设地点：安徽省合肥市肥东县桥头集镇境内</w:t>
      </w:r>
    </w:p>
    <w:p>
      <w:pPr>
        <w:widowControl/>
        <w:spacing w:line="560" w:lineRule="exact"/>
        <w:ind w:firstLine="56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2.6</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建设规模：本次实施肥东县2025年农村公路提质改造工程（桥头集镇），新建长5318米、宽5米的农村公路。</w:t>
      </w:r>
    </w:p>
    <w:p>
      <w:pPr>
        <w:widowControl/>
        <w:spacing w:line="560" w:lineRule="exact"/>
        <w:ind w:firstLine="56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2.7</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合同估算价：</w:t>
      </w:r>
      <w:r>
        <w:rPr>
          <w:rFonts w:hint="eastAsia" w:ascii="仿宋" w:hAnsi="仿宋" w:eastAsia="仿宋" w:cs="仿宋"/>
          <w:color w:val="333333"/>
          <w:kern w:val="0"/>
          <w:sz w:val="28"/>
          <w:szCs w:val="28"/>
          <w:highlight w:val="none"/>
          <w:lang w:val="en-US" w:eastAsia="zh-CN"/>
        </w:rPr>
        <w:t>1201.0477</w:t>
      </w:r>
      <w:r>
        <w:rPr>
          <w:rFonts w:hint="eastAsia" w:ascii="仿宋" w:hAnsi="仿宋" w:eastAsia="仿宋" w:cs="仿宋"/>
          <w:color w:val="333333"/>
          <w:kern w:val="0"/>
          <w:sz w:val="28"/>
          <w:szCs w:val="28"/>
          <w:highlight w:val="none"/>
        </w:rPr>
        <w:t>万元</w:t>
      </w:r>
    </w:p>
    <w:p>
      <w:pPr>
        <w:widowControl/>
        <w:spacing w:line="560" w:lineRule="exact"/>
        <w:ind w:firstLine="56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2.8</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计划工期：</w:t>
      </w:r>
      <w:r>
        <w:rPr>
          <w:rFonts w:hint="eastAsia" w:ascii="仿宋" w:hAnsi="仿宋" w:eastAsia="仿宋" w:cs="仿宋"/>
          <w:color w:val="333333"/>
          <w:kern w:val="0"/>
          <w:sz w:val="28"/>
          <w:szCs w:val="28"/>
          <w:highlight w:val="none"/>
          <w:lang w:val="en-US" w:eastAsia="zh-CN"/>
        </w:rPr>
        <w:t>120</w:t>
      </w:r>
      <w:r>
        <w:rPr>
          <w:rFonts w:hint="eastAsia" w:ascii="仿宋" w:hAnsi="仿宋" w:eastAsia="仿宋" w:cs="仿宋"/>
          <w:color w:val="333333"/>
          <w:kern w:val="0"/>
          <w:sz w:val="28"/>
          <w:szCs w:val="28"/>
          <w:highlight w:val="none"/>
        </w:rPr>
        <w:t>日历天</w:t>
      </w:r>
    </w:p>
    <w:p>
      <w:pPr>
        <w:widowControl/>
        <w:spacing w:line="560" w:lineRule="exact"/>
        <w:ind w:firstLine="56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2.9</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招标范围：路基路面工程、桥梁涵洞工程及交安设施工程等施工图纸及工程量清单内容。</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2.10</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项目类别：工程施工</w:t>
      </w:r>
    </w:p>
    <w:p>
      <w:pPr>
        <w:widowControl/>
        <w:spacing w:line="560" w:lineRule="exact"/>
        <w:ind w:firstLine="560"/>
        <w:jc w:val="left"/>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rPr>
        <w:t>2.11</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其他：</w:t>
      </w:r>
      <w:r>
        <w:rPr>
          <w:rFonts w:hint="eastAsia" w:ascii="仿宋" w:hAnsi="仿宋" w:eastAsia="仿宋" w:cs="仿宋"/>
          <w:color w:val="333333"/>
          <w:kern w:val="0"/>
          <w:sz w:val="28"/>
          <w:szCs w:val="28"/>
          <w:lang w:val="en-US" w:eastAsia="zh-CN"/>
        </w:rPr>
        <w:t>无</w:t>
      </w:r>
    </w:p>
    <w:p>
      <w:pPr>
        <w:widowControl/>
        <w:spacing w:line="560" w:lineRule="exact"/>
        <w:ind w:firstLine="0" w:firstLineChars="0"/>
        <w:jc w:val="left"/>
        <w:outlineLvl w:val="0"/>
        <w:rPr>
          <w:rFonts w:ascii="黑体" w:hAnsi="宋体" w:eastAsia="黑体" w:cs="黑体"/>
          <w:bCs/>
          <w:color w:val="333333"/>
          <w:kern w:val="0"/>
          <w:sz w:val="28"/>
          <w:szCs w:val="28"/>
        </w:rPr>
      </w:pPr>
      <w:r>
        <w:rPr>
          <w:rFonts w:hint="eastAsia" w:ascii="黑体" w:hAnsi="宋体" w:eastAsia="黑体" w:cs="黑体"/>
          <w:bCs/>
          <w:color w:val="333333"/>
          <w:kern w:val="0"/>
          <w:sz w:val="28"/>
          <w:szCs w:val="28"/>
        </w:rPr>
        <w:t>3. 投标人资格要求</w:t>
      </w:r>
      <w:r>
        <w:rPr>
          <w:rFonts w:hint="eastAsia" w:ascii="宋体" w:hAnsi="宋体" w:cs="宋体"/>
          <w:kern w:val="0"/>
          <w:sz w:val="24"/>
        </w:rPr>
        <w:t xml:space="preserve"> </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3.1 投标人资质要求：投标人须具备公路工程施工总承包</w:t>
      </w:r>
      <w:r>
        <w:rPr>
          <w:rFonts w:hint="eastAsia" w:ascii="仿宋" w:hAnsi="仿宋" w:eastAsia="仿宋" w:cs="仿宋"/>
          <w:color w:val="333333"/>
          <w:kern w:val="0"/>
          <w:sz w:val="28"/>
          <w:szCs w:val="28"/>
          <w:highlight w:val="none"/>
        </w:rPr>
        <w:t>叁级及以上资质。</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3.2 投标人业绩要求：/</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3.3</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项目经理资格要求：投标人拟委任项目经理须具备公路工程专业</w:t>
      </w:r>
      <w:r>
        <w:rPr>
          <w:rFonts w:hint="eastAsia" w:ascii="仿宋" w:hAnsi="仿宋" w:eastAsia="仿宋" w:cs="仿宋"/>
          <w:color w:val="333333"/>
          <w:kern w:val="0"/>
          <w:sz w:val="28"/>
          <w:szCs w:val="28"/>
          <w:highlight w:val="none"/>
        </w:rPr>
        <w:t>二级及以上注册建造师资格</w:t>
      </w:r>
      <w:r>
        <w:rPr>
          <w:rFonts w:hint="eastAsia" w:ascii="仿宋" w:hAnsi="仿宋" w:eastAsia="仿宋" w:cs="仿宋"/>
          <w:color w:val="333333"/>
          <w:kern w:val="0"/>
          <w:sz w:val="28"/>
          <w:szCs w:val="28"/>
        </w:rPr>
        <w:t>，具备交通行政主管部门颁发的行业类别代码为G的有效的安全生产考核合格证书B证，且目前未在其他项目上任职或虽在其他项目上任职但本项目中标后能够从该项目撤离。</w:t>
      </w:r>
    </w:p>
    <w:p>
      <w:pPr>
        <w:widowControl/>
        <w:spacing w:line="560" w:lineRule="exact"/>
        <w:ind w:firstLine="560"/>
        <w:jc w:val="left"/>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rPr>
        <w:t>3.4</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项目经理业绩要求：</w:t>
      </w:r>
      <w:r>
        <w:rPr>
          <w:rFonts w:hint="eastAsia" w:ascii="仿宋" w:hAnsi="仿宋" w:eastAsia="仿宋" w:cs="仿宋"/>
          <w:color w:val="333333"/>
          <w:kern w:val="0"/>
          <w:sz w:val="28"/>
          <w:szCs w:val="28"/>
          <w:highlight w:val="none"/>
        </w:rPr>
        <w:t>无</w:t>
      </w:r>
      <w:r>
        <w:rPr>
          <w:rFonts w:hint="eastAsia" w:ascii="仿宋" w:hAnsi="仿宋" w:eastAsia="仿宋" w:cs="仿宋"/>
          <w:color w:val="333333"/>
          <w:kern w:val="0"/>
          <w:sz w:val="28"/>
          <w:szCs w:val="28"/>
          <w:highlight w:val="none"/>
          <w:lang w:eastAsia="zh-CN"/>
        </w:rPr>
        <w:t>。</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3.5</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项目总工资格要求：</w:t>
      </w:r>
      <w:r>
        <w:rPr>
          <w:rFonts w:hint="eastAsia" w:ascii="仿宋" w:hAnsi="仿宋" w:eastAsia="仿宋" w:cs="仿宋"/>
          <w:color w:val="333333"/>
          <w:kern w:val="0"/>
          <w:sz w:val="28"/>
          <w:szCs w:val="28"/>
          <w:highlight w:val="none"/>
        </w:rPr>
        <w:t>投标人拟委任项目总工须具备公路工程相关专业中级及以上职称，</w:t>
      </w:r>
      <w:r>
        <w:rPr>
          <w:rFonts w:hint="eastAsia" w:ascii="仿宋" w:hAnsi="仿宋" w:eastAsia="仿宋" w:cs="仿宋"/>
          <w:color w:val="333333"/>
          <w:kern w:val="0"/>
          <w:sz w:val="28"/>
          <w:szCs w:val="28"/>
        </w:rPr>
        <w:t>具备交通行政主管部门颁发的行业类别代码为G的有效的安全生产考核合格证书B证，且目前未在其他项目上任职或虽在其他项目上任职但本项目中标后能够从该项目撤离。</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3.6</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项目总工业绩要求：</w:t>
      </w:r>
      <w:r>
        <w:rPr>
          <w:rFonts w:hint="eastAsia" w:ascii="仿宋" w:hAnsi="仿宋" w:eastAsia="仿宋" w:cs="仿宋"/>
          <w:color w:val="333333"/>
          <w:kern w:val="0"/>
          <w:sz w:val="28"/>
          <w:szCs w:val="28"/>
          <w:highlight w:val="none"/>
        </w:rPr>
        <w:t>无</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3.7</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投标人其他人员要求：无</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3.8</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投标人主要机械设备和试验检测设备最低要求：无</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3.9</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投标人财务要求：无</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3.10</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信誉要求：投标人未被合肥市及其所辖县（市）、区（开发区）公共资源交易监督管理部门记不良行为记录的；或被记不良行为记录（以公布日期为准），但同时符合下列情形的：</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2"/>
          <w:szCs w:val="22"/>
        </w:rPr>
        <w:t xml:space="preserve">    </w:t>
      </w:r>
      <w:r>
        <w:rPr>
          <w:rFonts w:hint="eastAsia" w:ascii="仿宋" w:hAnsi="仿宋" w:eastAsia="仿宋" w:cs="仿宋"/>
          <w:color w:val="333333"/>
          <w:kern w:val="0"/>
          <w:sz w:val="28"/>
          <w:szCs w:val="28"/>
        </w:rPr>
        <w:t>（1）开标日前（含当日）6个月内记分累计未满10分的；</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2"/>
          <w:szCs w:val="22"/>
        </w:rPr>
        <w:t xml:space="preserve">    </w:t>
      </w:r>
      <w:r>
        <w:rPr>
          <w:rFonts w:hint="eastAsia" w:ascii="仿宋" w:hAnsi="仿宋" w:eastAsia="仿宋" w:cs="仿宋"/>
          <w:color w:val="333333"/>
          <w:kern w:val="0"/>
          <w:sz w:val="28"/>
          <w:szCs w:val="28"/>
        </w:rPr>
        <w:t>（2）开标日前（含当日）12个月内记分累计未满15分的；</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2"/>
          <w:szCs w:val="22"/>
        </w:rPr>
        <w:t xml:space="preserve">    </w:t>
      </w:r>
      <w:r>
        <w:rPr>
          <w:rFonts w:hint="eastAsia" w:ascii="仿宋" w:hAnsi="仿宋" w:eastAsia="仿宋" w:cs="仿宋"/>
          <w:color w:val="333333"/>
          <w:kern w:val="0"/>
          <w:sz w:val="28"/>
          <w:szCs w:val="28"/>
        </w:rPr>
        <w:t>（3）开标日前（含当日）18个月内记分累计未满20分的；</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2"/>
          <w:szCs w:val="22"/>
        </w:rPr>
        <w:t xml:space="preserve">    </w:t>
      </w:r>
      <w:r>
        <w:rPr>
          <w:rFonts w:hint="eastAsia" w:ascii="仿宋" w:hAnsi="仿宋" w:eastAsia="仿宋" w:cs="仿宋"/>
          <w:color w:val="333333"/>
          <w:kern w:val="0"/>
          <w:sz w:val="28"/>
          <w:szCs w:val="28"/>
        </w:rPr>
        <w:t>（4）开标日前（含当日）24个月内记分累计未满25分的。</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3.11</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本次招标</w:t>
      </w:r>
      <w:r>
        <w:rPr>
          <w:rFonts w:hint="eastAsia" w:ascii="仿宋" w:hAnsi="仿宋" w:eastAsia="仿宋" w:cs="仿宋"/>
          <w:color w:val="333333"/>
          <w:kern w:val="0"/>
          <w:sz w:val="28"/>
          <w:szCs w:val="28"/>
          <w:highlight w:val="none"/>
        </w:rPr>
        <w:t>不接受</w:t>
      </w:r>
      <w:r>
        <w:rPr>
          <w:rFonts w:hint="eastAsia" w:ascii="仿宋" w:hAnsi="仿宋" w:eastAsia="仿宋" w:cs="仿宋"/>
          <w:color w:val="333333"/>
          <w:kern w:val="0"/>
          <w:sz w:val="28"/>
          <w:szCs w:val="28"/>
        </w:rPr>
        <w:t>联合体投标。</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3.12</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投标人不得存在招标文件第二章投标人须知第1.4.3项、第1.4.4项规定的情形。</w:t>
      </w:r>
    </w:p>
    <w:p>
      <w:pPr>
        <w:widowControl/>
        <w:spacing w:line="560" w:lineRule="exact"/>
        <w:ind w:firstLine="560"/>
        <w:jc w:val="left"/>
        <w:rPr>
          <w:rFonts w:ascii="宋体" w:hAnsi="宋体" w:cs="宋体"/>
          <w:kern w:val="0"/>
          <w:sz w:val="24"/>
        </w:rPr>
      </w:pPr>
      <w:r>
        <w:rPr>
          <w:rFonts w:hint="eastAsia" w:ascii="仿宋" w:hAnsi="仿宋" w:eastAsia="仿宋" w:cs="仿宋"/>
          <w:color w:val="333333"/>
          <w:kern w:val="0"/>
          <w:sz w:val="28"/>
          <w:szCs w:val="28"/>
        </w:rPr>
        <w:t>3.13</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其他要求：无</w:t>
      </w:r>
      <w:r>
        <w:rPr>
          <w:rFonts w:hint="eastAsia" w:ascii="宋体" w:hAnsi="宋体" w:cs="宋体"/>
          <w:kern w:val="0"/>
          <w:sz w:val="24"/>
        </w:rPr>
        <w:t xml:space="preserve"> </w:t>
      </w:r>
    </w:p>
    <w:p>
      <w:pPr>
        <w:widowControl/>
        <w:spacing w:line="560" w:lineRule="exact"/>
        <w:ind w:firstLine="0" w:firstLineChars="0"/>
        <w:jc w:val="left"/>
        <w:outlineLvl w:val="0"/>
        <w:rPr>
          <w:rFonts w:ascii="黑体" w:hAnsi="宋体" w:eastAsia="黑体" w:cs="黑体"/>
          <w:bCs/>
          <w:color w:val="333333"/>
          <w:kern w:val="0"/>
          <w:sz w:val="28"/>
          <w:szCs w:val="28"/>
        </w:rPr>
      </w:pPr>
      <w:r>
        <w:rPr>
          <w:rFonts w:hint="eastAsia" w:ascii="黑体" w:hAnsi="宋体" w:eastAsia="黑体" w:cs="黑体"/>
          <w:bCs/>
          <w:color w:val="333333"/>
          <w:kern w:val="0"/>
          <w:sz w:val="28"/>
          <w:szCs w:val="28"/>
        </w:rPr>
        <w:t>4. 招标文件的获取</w:t>
      </w:r>
      <w:r>
        <w:rPr>
          <w:rFonts w:hint="eastAsia" w:ascii="宋体" w:hAnsi="宋体" w:cs="宋体"/>
          <w:kern w:val="0"/>
          <w:sz w:val="24"/>
        </w:rPr>
        <w:t xml:space="preserve"> </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4.1 获取时间：</w:t>
      </w:r>
      <w:r>
        <w:rPr>
          <w:rFonts w:hint="eastAsia" w:ascii="仿宋" w:hAnsi="仿宋" w:eastAsia="仿宋" w:cs="仿宋"/>
          <w:color w:val="333333"/>
          <w:kern w:val="0"/>
          <w:sz w:val="28"/>
          <w:szCs w:val="28"/>
          <w:highlight w:val="none"/>
        </w:rPr>
        <w:t>202</w:t>
      </w:r>
      <w:r>
        <w:rPr>
          <w:rFonts w:hint="eastAsia" w:ascii="仿宋" w:hAnsi="仿宋" w:eastAsia="仿宋" w:cs="仿宋"/>
          <w:color w:val="333333"/>
          <w:kern w:val="0"/>
          <w:sz w:val="28"/>
          <w:szCs w:val="28"/>
          <w:highlight w:val="none"/>
          <w:lang w:val="en-US" w:eastAsia="zh-CN"/>
        </w:rPr>
        <w:t>5</w:t>
      </w:r>
      <w:r>
        <w:rPr>
          <w:rFonts w:hint="eastAsia" w:ascii="仿宋" w:hAnsi="仿宋" w:eastAsia="仿宋" w:cs="仿宋"/>
          <w:color w:val="333333"/>
          <w:kern w:val="0"/>
          <w:sz w:val="28"/>
          <w:szCs w:val="28"/>
          <w:highlight w:val="none"/>
        </w:rPr>
        <w:t>年</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日至</w:t>
      </w:r>
      <w:r>
        <w:rPr>
          <w:rFonts w:hint="eastAsia" w:ascii="仿宋" w:hAnsi="仿宋" w:eastAsia="仿宋" w:cs="仿宋"/>
          <w:color w:val="333333"/>
          <w:kern w:val="0"/>
          <w:sz w:val="28"/>
          <w:szCs w:val="28"/>
          <w:highlight w:val="none"/>
          <w:lang w:val="en-US" w:eastAsia="zh-CN"/>
        </w:rPr>
        <w:t>投标截止时间</w:t>
      </w:r>
      <w:r>
        <w:rPr>
          <w:rFonts w:hint="eastAsia" w:ascii="仿宋" w:hAnsi="仿宋" w:eastAsia="仿宋" w:cs="仿宋"/>
          <w:color w:val="333333"/>
          <w:kern w:val="0"/>
          <w:sz w:val="28"/>
          <w:szCs w:val="28"/>
          <w:highlight w:val="none"/>
        </w:rPr>
        <w:t>。</w:t>
      </w:r>
      <w:r>
        <w:rPr>
          <w:rFonts w:hint="eastAsia" w:ascii="宋体" w:hAnsi="宋体" w:cs="宋体"/>
          <w:kern w:val="0"/>
          <w:sz w:val="24"/>
        </w:rPr>
        <w:t xml:space="preserve"> </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4.2 获取方式：</w:t>
      </w:r>
      <w:r>
        <w:rPr>
          <w:rFonts w:hint="eastAsia" w:ascii="宋体" w:hAnsi="宋体" w:cs="宋体"/>
          <w:kern w:val="0"/>
          <w:sz w:val="24"/>
        </w:rPr>
        <w:t xml:space="preserve"> </w:t>
      </w:r>
    </w:p>
    <w:p>
      <w:pPr>
        <w:widowControl/>
        <w:spacing w:line="560" w:lineRule="exact"/>
        <w:ind w:firstLine="560"/>
        <w:jc w:val="left"/>
      </w:pPr>
      <w:r>
        <w:rPr>
          <w:rFonts w:hint="eastAsia" w:ascii="仿宋" w:hAnsi="仿宋" w:eastAsia="仿宋" w:cs="仿宋"/>
          <w:color w:val="333333"/>
          <w:kern w:val="0"/>
          <w:sz w:val="28"/>
          <w:szCs w:val="28"/>
        </w:rPr>
        <w:t>（1）本招标项目实行全流程电子化交易。</w:t>
      </w:r>
    </w:p>
    <w:p>
      <w:pPr>
        <w:widowControl/>
        <w:spacing w:line="560" w:lineRule="exact"/>
        <w:ind w:firstLine="560"/>
        <w:jc w:val="left"/>
      </w:pPr>
      <w:r>
        <w:rPr>
          <w:rFonts w:hint="eastAsia" w:ascii="仿宋" w:hAnsi="仿宋" w:eastAsia="仿宋" w:cs="仿宋"/>
          <w:color w:val="333333"/>
          <w:kern w:val="0"/>
          <w:sz w:val="28"/>
          <w:szCs w:val="28"/>
        </w:rPr>
        <w:t>（2）潜在投标人可登录安徽合肥公共资源交易电子服务系统（以下简称“电子服务系统”）查阅招标文件，如参与投标，则须在本条第4.1款规定的招标文件获取时间内通过安徽合肥公共资源交易中心电子交易系统获取招标文件。</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（3）招标文件获取过程中有任何疑问，请工作时间（9:00-17:30，节假日休息）拨打技术支持热线（非项目咨询）：</w:t>
      </w:r>
      <w:r>
        <w:rPr>
          <w:rFonts w:hint="eastAsia" w:ascii="仿宋" w:hAnsi="仿宋" w:eastAsia="仿宋"/>
          <w:sz w:val="28"/>
          <w:szCs w:val="28"/>
          <w:lang w:val="en-US" w:eastAsia="zh-CN"/>
        </w:rPr>
        <w:t>0512-58188516</w:t>
      </w:r>
      <w:r>
        <w:rPr>
          <w:rFonts w:hint="eastAsia" w:ascii="仿宋" w:hAnsi="仿宋" w:eastAsia="仿宋" w:cs="仿宋"/>
          <w:color w:val="333333"/>
          <w:kern w:val="0"/>
          <w:sz w:val="28"/>
          <w:szCs w:val="28"/>
        </w:rPr>
        <w:t>。项目咨询请拨打电话：0551-6</w:t>
      </w:r>
      <w:r>
        <w:rPr>
          <w:rFonts w:hint="eastAsia" w:ascii="仿宋" w:hAnsi="仿宋" w:eastAsia="仿宋" w:cs="仿宋"/>
          <w:color w:val="333333"/>
          <w:kern w:val="0"/>
          <w:sz w:val="28"/>
          <w:szCs w:val="28"/>
          <w:lang w:val="en-US" w:eastAsia="zh-CN"/>
        </w:rPr>
        <w:t>7758760</w:t>
      </w:r>
      <w:r>
        <w:rPr>
          <w:rFonts w:hint="eastAsia" w:ascii="仿宋" w:hAnsi="仿宋" w:eastAsia="仿宋" w:cs="仿宋"/>
          <w:color w:val="333333"/>
          <w:kern w:val="0"/>
          <w:sz w:val="28"/>
          <w:szCs w:val="28"/>
          <w:highlight w:val="none"/>
        </w:rPr>
        <w:t>。</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4.3 招标文件价格：每套人民币0元。</w:t>
      </w:r>
      <w:r>
        <w:rPr>
          <w:rFonts w:hint="eastAsia" w:ascii="宋体" w:hAnsi="宋体" w:cs="宋体"/>
          <w:kern w:val="0"/>
          <w:sz w:val="24"/>
        </w:rPr>
        <w:t xml:space="preserve"> </w:t>
      </w:r>
    </w:p>
    <w:p>
      <w:pPr>
        <w:widowControl/>
        <w:spacing w:line="560" w:lineRule="exact"/>
        <w:ind w:firstLine="0" w:firstLineChars="0"/>
        <w:jc w:val="left"/>
        <w:outlineLvl w:val="0"/>
        <w:rPr>
          <w:rFonts w:ascii="黑体" w:hAnsi="宋体" w:eastAsia="黑体" w:cs="黑体"/>
          <w:bCs/>
          <w:color w:val="333333"/>
          <w:kern w:val="0"/>
          <w:sz w:val="28"/>
          <w:szCs w:val="28"/>
        </w:rPr>
      </w:pPr>
      <w:r>
        <w:rPr>
          <w:rFonts w:hint="eastAsia" w:ascii="黑体" w:hAnsi="宋体" w:eastAsia="黑体" w:cs="黑体"/>
          <w:bCs/>
          <w:color w:val="333333"/>
          <w:kern w:val="0"/>
          <w:sz w:val="28"/>
          <w:szCs w:val="28"/>
        </w:rPr>
        <w:t>5. 投标文件的递交</w:t>
      </w:r>
      <w:r>
        <w:rPr>
          <w:rFonts w:hint="eastAsia" w:ascii="黑体" w:hAnsi="宋体" w:eastAsia="黑体" w:cs="黑体"/>
          <w:bCs/>
          <w:color w:val="333333"/>
          <w:kern w:val="0"/>
          <w:sz w:val="28"/>
          <w:szCs w:val="28"/>
          <w:lang w:val="en-US" w:eastAsia="zh-CN"/>
        </w:rPr>
        <w:t>及相关事宜</w:t>
      </w:r>
      <w:r>
        <w:rPr>
          <w:rFonts w:hint="eastAsia" w:ascii="黑体" w:hAnsi="宋体" w:eastAsia="黑体" w:cs="黑体"/>
          <w:bCs/>
          <w:color w:val="333333"/>
          <w:kern w:val="0"/>
          <w:sz w:val="28"/>
          <w:szCs w:val="28"/>
        </w:rPr>
        <w:t xml:space="preserve"> </w:t>
      </w:r>
      <w:r>
        <w:rPr>
          <w:rFonts w:hint="eastAsia" w:ascii="宋体" w:hAnsi="宋体" w:cs="宋体"/>
          <w:kern w:val="0"/>
          <w:sz w:val="24"/>
        </w:rPr>
        <w:t xml:space="preserve"> </w:t>
      </w:r>
    </w:p>
    <w:p>
      <w:pPr>
        <w:widowControl/>
        <w:spacing w:line="560" w:lineRule="exact"/>
        <w:ind w:firstLine="560"/>
        <w:jc w:val="left"/>
        <w:rPr>
          <w:rFonts w:hint="eastAsia" w:ascii="仿宋" w:hAnsi="仿宋" w:eastAsia="仿宋" w:cs="仿宋"/>
          <w:color w:val="333333"/>
          <w:kern w:val="0"/>
          <w:sz w:val="28"/>
          <w:szCs w:val="28"/>
        </w:rPr>
      </w:pPr>
      <w:r>
        <w:rPr>
          <w:rFonts w:hint="default" w:ascii="仿宋" w:hAnsi="仿宋" w:eastAsia="仿宋" w:cs="仿宋"/>
          <w:color w:val="333333"/>
          <w:kern w:val="0"/>
          <w:sz w:val="28"/>
          <w:szCs w:val="28"/>
        </w:rPr>
        <w:t>5.1</w:t>
      </w:r>
      <w:r>
        <w:rPr>
          <w:rFonts w:hint="eastAsia" w:ascii="仿宋" w:hAnsi="仿宋" w:eastAsia="仿宋" w:cs="仿宋"/>
          <w:color w:val="333333"/>
          <w:kern w:val="0"/>
          <w:sz w:val="28"/>
          <w:szCs w:val="28"/>
          <w:lang w:val="en-US" w:eastAsia="zh-CN"/>
        </w:rPr>
        <w:t xml:space="preserve"> </w:t>
      </w:r>
      <w:r>
        <w:rPr>
          <w:rFonts w:hint="default" w:ascii="仿宋" w:hAnsi="仿宋" w:eastAsia="仿宋" w:cs="仿宋"/>
          <w:color w:val="333333"/>
          <w:kern w:val="0"/>
          <w:sz w:val="28"/>
          <w:szCs w:val="28"/>
        </w:rPr>
        <w:t>招标人不组织进行工程现场踏勘和召开投标预备会。</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 xml:space="preserve">5.2 </w:t>
      </w:r>
      <w:r>
        <w:rPr>
          <w:rFonts w:hint="eastAsia" w:ascii="仿宋" w:hAnsi="仿宋" w:eastAsia="仿宋" w:cs="仿宋"/>
          <w:color w:val="333333"/>
          <w:kern w:val="0"/>
          <w:sz w:val="28"/>
          <w:szCs w:val="28"/>
        </w:rPr>
        <w:t>投标文件递交的截止时间</w:t>
      </w:r>
      <w:r>
        <w:rPr>
          <w:rFonts w:hint="eastAsia" w:ascii="仿宋" w:hAnsi="仿宋" w:eastAsia="仿宋"/>
          <w:sz w:val="28"/>
          <w:szCs w:val="28"/>
        </w:rPr>
        <w:t>（投标截止时间，下同）</w:t>
      </w:r>
      <w:r>
        <w:rPr>
          <w:rFonts w:hint="eastAsia" w:ascii="仿宋" w:hAnsi="仿宋" w:eastAsia="仿宋" w:cs="仿宋"/>
          <w:color w:val="333333"/>
          <w:kern w:val="0"/>
          <w:sz w:val="28"/>
          <w:szCs w:val="28"/>
        </w:rPr>
        <w:t>为</w:t>
      </w:r>
      <w:r>
        <w:rPr>
          <w:rFonts w:hint="eastAsia" w:ascii="仿宋" w:hAnsi="仿宋" w:eastAsia="仿宋" w:cs="仿宋"/>
          <w:color w:val="333333"/>
          <w:kern w:val="0"/>
          <w:sz w:val="28"/>
          <w:szCs w:val="28"/>
          <w:highlight w:val="none"/>
        </w:rPr>
        <w:t>202</w:t>
      </w:r>
      <w:r>
        <w:rPr>
          <w:rFonts w:hint="eastAsia" w:ascii="仿宋" w:hAnsi="仿宋" w:eastAsia="仿宋" w:cs="仿宋"/>
          <w:color w:val="333333"/>
          <w:kern w:val="0"/>
          <w:sz w:val="28"/>
          <w:szCs w:val="28"/>
          <w:highlight w:val="none"/>
          <w:lang w:val="en-US" w:eastAsia="zh-CN"/>
        </w:rPr>
        <w:t>5</w:t>
      </w:r>
      <w:r>
        <w:rPr>
          <w:rFonts w:hint="eastAsia" w:ascii="仿宋" w:hAnsi="仿宋" w:eastAsia="仿宋" w:cs="仿宋"/>
          <w:color w:val="333333"/>
          <w:kern w:val="0"/>
          <w:sz w:val="28"/>
          <w:szCs w:val="28"/>
          <w:highlight w:val="none"/>
        </w:rPr>
        <w:t>年</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日10时00分</w:t>
      </w:r>
      <w:r>
        <w:rPr>
          <w:rFonts w:hint="eastAsia" w:ascii="仿宋" w:hAnsi="仿宋" w:eastAsia="仿宋" w:cs="仿宋"/>
          <w:color w:val="333333"/>
          <w:kern w:val="0"/>
          <w:sz w:val="28"/>
          <w:szCs w:val="28"/>
        </w:rPr>
        <w:t>，投标人应在截止时间前通过安徽合肥公共资源交易中心电子交易系统递交电子投标文件。</w:t>
      </w:r>
    </w:p>
    <w:p>
      <w:pPr>
        <w:widowControl/>
        <w:spacing w:line="560" w:lineRule="exact"/>
        <w:ind w:firstLine="0" w:firstLineChars="0"/>
        <w:jc w:val="left"/>
        <w:outlineLvl w:val="0"/>
        <w:rPr>
          <w:rFonts w:ascii="黑体" w:hAnsi="宋体" w:eastAsia="黑体" w:cs="黑体"/>
          <w:bCs/>
          <w:color w:val="333333"/>
          <w:kern w:val="0"/>
          <w:sz w:val="28"/>
          <w:szCs w:val="28"/>
        </w:rPr>
      </w:pPr>
      <w:r>
        <w:rPr>
          <w:rFonts w:hint="eastAsia" w:ascii="黑体" w:hAnsi="宋体" w:eastAsia="黑体" w:cs="黑体"/>
          <w:bCs/>
          <w:color w:val="333333"/>
          <w:kern w:val="0"/>
          <w:sz w:val="28"/>
          <w:szCs w:val="28"/>
        </w:rPr>
        <w:t>6. 资格审查方式</w:t>
      </w:r>
      <w:r>
        <w:rPr>
          <w:rFonts w:hint="eastAsia" w:ascii="宋体" w:hAnsi="宋体" w:cs="宋体"/>
          <w:kern w:val="0"/>
          <w:sz w:val="24"/>
        </w:rPr>
        <w:t xml:space="preserve"> </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本项目采用资格后审方式进行资格审查。</w:t>
      </w:r>
    </w:p>
    <w:p>
      <w:pPr>
        <w:widowControl/>
        <w:spacing w:line="560" w:lineRule="exact"/>
        <w:ind w:firstLine="0" w:firstLineChars="0"/>
        <w:jc w:val="left"/>
        <w:outlineLvl w:val="0"/>
        <w:rPr>
          <w:rFonts w:ascii="黑体" w:hAnsi="宋体" w:eastAsia="黑体" w:cs="黑体"/>
          <w:bCs/>
          <w:color w:val="333333"/>
          <w:kern w:val="0"/>
          <w:sz w:val="28"/>
          <w:szCs w:val="28"/>
        </w:rPr>
      </w:pPr>
      <w:r>
        <w:rPr>
          <w:rFonts w:hint="eastAsia" w:ascii="黑体" w:hAnsi="宋体" w:eastAsia="黑体" w:cs="黑体"/>
          <w:bCs/>
          <w:color w:val="333333"/>
          <w:kern w:val="0"/>
          <w:sz w:val="28"/>
          <w:szCs w:val="28"/>
        </w:rPr>
        <w:t>7. 评标办法</w:t>
      </w:r>
      <w:r>
        <w:rPr>
          <w:rFonts w:hint="eastAsia" w:ascii="宋体" w:hAnsi="宋体" w:cs="宋体"/>
          <w:kern w:val="0"/>
          <w:sz w:val="24"/>
        </w:rPr>
        <w:t xml:space="preserve"> </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本招标项目评标办法采用技术评分最低标价法（见招标文件第三章“评标办法”）。</w:t>
      </w:r>
    </w:p>
    <w:p>
      <w:pPr>
        <w:widowControl/>
        <w:spacing w:line="560" w:lineRule="exact"/>
        <w:ind w:firstLine="0" w:firstLineChars="0"/>
        <w:jc w:val="left"/>
        <w:outlineLvl w:val="0"/>
        <w:rPr>
          <w:rFonts w:ascii="黑体" w:hAnsi="宋体" w:eastAsia="黑体" w:cs="黑体"/>
          <w:bCs/>
          <w:color w:val="333333"/>
          <w:kern w:val="0"/>
          <w:sz w:val="28"/>
          <w:szCs w:val="28"/>
        </w:rPr>
      </w:pPr>
      <w:r>
        <w:rPr>
          <w:rFonts w:hint="eastAsia" w:ascii="黑体" w:hAnsi="宋体" w:eastAsia="黑体" w:cs="黑体"/>
          <w:bCs/>
          <w:color w:val="333333"/>
          <w:kern w:val="0"/>
          <w:sz w:val="28"/>
          <w:szCs w:val="28"/>
        </w:rPr>
        <w:t>8. 开标时间及地点</w:t>
      </w:r>
      <w:r>
        <w:rPr>
          <w:rFonts w:hint="eastAsia" w:ascii="宋体" w:hAnsi="宋体" w:cs="宋体"/>
          <w:kern w:val="0"/>
          <w:sz w:val="24"/>
        </w:rPr>
        <w:t xml:space="preserve"> </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8.1 开标时间：202</w:t>
      </w:r>
      <w:r>
        <w:rPr>
          <w:rFonts w:hint="eastAsia" w:ascii="仿宋" w:hAnsi="仿宋" w:eastAsia="仿宋" w:cs="仿宋"/>
          <w:color w:val="333333"/>
          <w:kern w:val="0"/>
          <w:sz w:val="28"/>
          <w:szCs w:val="28"/>
          <w:lang w:val="en-US" w:eastAsia="zh-CN"/>
        </w:rPr>
        <w:t>5</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日10时00分</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8.2 开标地点：</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8"/>
          <w:szCs w:val="28"/>
        </w:rPr>
        <w:t xml:space="preserve">    </w:t>
      </w:r>
      <w:r>
        <w:rPr>
          <w:rFonts w:hint="eastAsia" w:ascii="MS Mincho" w:hAnsi="MS Mincho" w:eastAsia="MS Mincho" w:cs="MS Mincho"/>
          <w:sz w:val="24"/>
        </w:rPr>
        <w:t>☑</w:t>
      </w:r>
      <w:r>
        <w:rPr>
          <w:rFonts w:hint="eastAsia" w:ascii="仿宋" w:hAnsi="仿宋" w:eastAsia="仿宋" w:cs="仿宋"/>
          <w:color w:val="333333"/>
          <w:kern w:val="0"/>
          <w:sz w:val="28"/>
          <w:szCs w:val="28"/>
        </w:rPr>
        <w:t>合肥市肥东县店埠镇深秀路2号肥东政务服务中心四楼C区4楼</w:t>
      </w:r>
      <w:r>
        <w:rPr>
          <w:rFonts w:hint="eastAsia" w:ascii="仿宋" w:hAnsi="仿宋" w:eastAsia="仿宋" w:cs="仿宋"/>
          <w:color w:val="333333"/>
          <w:kern w:val="0"/>
          <w:sz w:val="28"/>
          <w:szCs w:val="28"/>
          <w:lang w:val="en-US" w:eastAsia="zh-CN"/>
        </w:rPr>
        <w:t xml:space="preserve"> </w:t>
      </w:r>
      <w:r>
        <w:rPr>
          <w:rFonts w:hint="eastAsia" w:ascii="仿宋" w:hAnsi="仿宋" w:eastAsia="仿宋" w:cs="仿宋"/>
          <w:color w:val="333333"/>
          <w:kern w:val="0"/>
          <w:sz w:val="28"/>
          <w:szCs w:val="28"/>
        </w:rPr>
        <w:t>号开标室</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8"/>
          <w:szCs w:val="28"/>
        </w:rPr>
        <w:t xml:space="preserve">    </w:t>
      </w:r>
      <w:r>
        <w:rPr>
          <w:rFonts w:hint="eastAsia" w:ascii="MS Mincho" w:hAnsi="MS Mincho" w:eastAsia="MS Mincho" w:cs="MS Mincho"/>
          <w:sz w:val="24"/>
        </w:rPr>
        <w:t>☑</w:t>
      </w:r>
      <w:r>
        <w:rPr>
          <w:rFonts w:hint="eastAsia" w:ascii="仿宋" w:hAnsi="仿宋" w:eastAsia="仿宋" w:cs="仿宋"/>
          <w:color w:val="333333"/>
          <w:kern w:val="0"/>
          <w:sz w:val="28"/>
          <w:szCs w:val="28"/>
        </w:rPr>
        <w:t>本招标项目采用“云上开标大厅”方式开标</w:t>
      </w:r>
    </w:p>
    <w:p>
      <w:pPr>
        <w:widowControl/>
        <w:spacing w:line="560" w:lineRule="exact"/>
        <w:ind w:firstLine="0" w:firstLineChars="0"/>
        <w:jc w:val="left"/>
        <w:outlineLvl w:val="0"/>
        <w:rPr>
          <w:rFonts w:ascii="黑体" w:hAnsi="宋体" w:eastAsia="黑体" w:cs="黑体"/>
          <w:bCs/>
          <w:color w:val="333333"/>
          <w:kern w:val="0"/>
          <w:sz w:val="28"/>
          <w:szCs w:val="28"/>
        </w:rPr>
      </w:pPr>
      <w:r>
        <w:rPr>
          <w:rFonts w:hint="eastAsia" w:ascii="黑体" w:hAnsi="宋体" w:eastAsia="黑体" w:cs="黑体"/>
          <w:bCs/>
          <w:color w:val="333333"/>
          <w:kern w:val="0"/>
          <w:sz w:val="28"/>
          <w:szCs w:val="28"/>
        </w:rPr>
        <w:t>9. 招标文件的异议、投诉</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9.1 投标人或者其他利害关系人对招标文件有异议的，应当在规定时间通过电子交易系统在线提出或以其他书面形式提出。</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9.2 投标人或者其他利害关系人对招标人、招标代理机构的答复不满意，或者招标人、招标代理机构未在规定时间内作出答复的，可以在规定时间内通过网上投诉系统或以其他书面形式向监管部门提出投诉。</w:t>
      </w:r>
    </w:p>
    <w:p>
      <w:pPr>
        <w:widowControl/>
        <w:spacing w:line="560" w:lineRule="exact"/>
        <w:ind w:firstLine="560"/>
        <w:jc w:val="left"/>
        <w:rPr>
          <w:rFonts w:ascii="黑体" w:hAnsi="宋体" w:eastAsia="黑体" w:cs="黑体"/>
          <w:bCs/>
          <w:color w:val="333333"/>
          <w:kern w:val="0"/>
          <w:sz w:val="28"/>
          <w:szCs w:val="28"/>
        </w:rPr>
      </w:pPr>
      <w:r>
        <w:rPr>
          <w:rFonts w:hint="eastAsia" w:ascii="仿宋" w:hAnsi="仿宋" w:eastAsia="仿宋" w:cs="仿宋"/>
          <w:color w:val="333333"/>
          <w:kern w:val="0"/>
          <w:sz w:val="28"/>
          <w:szCs w:val="28"/>
        </w:rPr>
        <w:t>9.3 受理异议的联系人和联系方式见招标公告11.1和11.2。</w:t>
      </w:r>
    </w:p>
    <w:p>
      <w:pPr>
        <w:widowControl/>
        <w:spacing w:line="560" w:lineRule="exact"/>
        <w:ind w:firstLine="0" w:firstLineChars="0"/>
        <w:jc w:val="left"/>
        <w:outlineLvl w:val="0"/>
        <w:rPr>
          <w:rFonts w:ascii="黑体" w:hAnsi="宋体" w:eastAsia="黑体" w:cs="黑体"/>
          <w:bCs/>
          <w:color w:val="333333"/>
          <w:kern w:val="0"/>
          <w:sz w:val="28"/>
          <w:szCs w:val="28"/>
        </w:rPr>
      </w:pPr>
      <w:r>
        <w:rPr>
          <w:rFonts w:hint="eastAsia" w:ascii="黑体" w:hAnsi="宋体" w:eastAsia="黑体" w:cs="黑体"/>
          <w:bCs/>
          <w:color w:val="333333"/>
          <w:kern w:val="0"/>
          <w:sz w:val="28"/>
          <w:szCs w:val="28"/>
        </w:rPr>
        <w:t>10.发布公告的媒介</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本次招标公告同时在安徽合肥公共资源交易中心网站、安徽省公共资源交易监管网、全国公共资源交易平台上发布。</w:t>
      </w:r>
    </w:p>
    <w:p>
      <w:pPr>
        <w:widowControl/>
        <w:spacing w:line="560" w:lineRule="exact"/>
        <w:ind w:firstLine="0" w:firstLineChars="0"/>
        <w:jc w:val="left"/>
        <w:outlineLvl w:val="0"/>
        <w:rPr>
          <w:rFonts w:ascii="黑体" w:hAnsi="宋体" w:eastAsia="黑体" w:cs="黑体"/>
          <w:bCs/>
          <w:color w:val="333333"/>
          <w:kern w:val="0"/>
          <w:sz w:val="28"/>
          <w:szCs w:val="28"/>
        </w:rPr>
      </w:pPr>
      <w:r>
        <w:rPr>
          <w:rFonts w:hint="eastAsia" w:ascii="黑体" w:hAnsi="宋体" w:eastAsia="黑体" w:cs="黑体"/>
          <w:bCs/>
          <w:color w:val="333333"/>
          <w:kern w:val="0"/>
          <w:sz w:val="28"/>
          <w:szCs w:val="28"/>
        </w:rPr>
        <w:t>11.联系方式</w:t>
      </w:r>
      <w:r>
        <w:rPr>
          <w:rFonts w:hint="eastAsia" w:ascii="宋体" w:hAnsi="宋体" w:cs="宋体"/>
          <w:kern w:val="0"/>
          <w:sz w:val="24"/>
        </w:rPr>
        <w:t xml:space="preserve"> </w:t>
      </w:r>
    </w:p>
    <w:p>
      <w:pPr>
        <w:widowControl/>
        <w:spacing w:line="560" w:lineRule="exact"/>
        <w:ind w:firstLine="560"/>
        <w:jc w:val="left"/>
        <w:outlineLvl w:val="1"/>
        <w:rPr>
          <w:rFonts w:ascii="仿宋" w:hAnsi="仿宋" w:eastAsia="仿宋" w:cs="仿宋"/>
          <w:color w:val="333333"/>
          <w:kern w:val="0"/>
          <w:sz w:val="28"/>
          <w:szCs w:val="28"/>
        </w:rPr>
      </w:pPr>
      <w:r>
        <w:rPr>
          <w:rFonts w:hint="eastAsia" w:ascii="仿宋" w:hAnsi="仿宋" w:eastAsia="仿宋" w:cs="仿宋"/>
          <w:color w:val="333333"/>
          <w:kern w:val="0"/>
          <w:sz w:val="28"/>
          <w:szCs w:val="28"/>
        </w:rPr>
        <w:t>11.1 招标人</w:t>
      </w:r>
    </w:p>
    <w:p>
      <w:pPr>
        <w:widowControl/>
        <w:spacing w:line="560" w:lineRule="exact"/>
        <w:ind w:firstLine="560"/>
        <w:jc w:val="left"/>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招标人：</w:t>
      </w:r>
      <w:r>
        <w:rPr>
          <w:rFonts w:hint="eastAsia" w:ascii="仿宋" w:hAnsi="仿宋" w:eastAsia="仿宋" w:cs="仿宋"/>
          <w:color w:val="333333"/>
          <w:kern w:val="0"/>
          <w:sz w:val="28"/>
          <w:szCs w:val="28"/>
          <w:highlight w:val="none"/>
          <w:lang w:eastAsia="zh-CN"/>
        </w:rPr>
        <w:t>肥东县桥头集镇人民政府</w:t>
      </w:r>
    </w:p>
    <w:p>
      <w:pPr>
        <w:widowControl/>
        <w:spacing w:line="560" w:lineRule="exact"/>
        <w:ind w:firstLine="56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地 址：安徽省合肥市肥东县桥头集镇龙泉大街1号</w:t>
      </w:r>
    </w:p>
    <w:p>
      <w:pPr>
        <w:widowControl/>
        <w:spacing w:line="560" w:lineRule="exact"/>
        <w:ind w:firstLine="56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邮 编：231600</w:t>
      </w:r>
    </w:p>
    <w:p>
      <w:pPr>
        <w:widowControl/>
        <w:spacing w:line="560" w:lineRule="exact"/>
        <w:ind w:firstLine="560"/>
        <w:jc w:val="left"/>
        <w:rPr>
          <w:rFonts w:hint="default"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rPr>
        <w:t>联系人：</w:t>
      </w:r>
      <w:r>
        <w:rPr>
          <w:rFonts w:hint="eastAsia" w:ascii="仿宋" w:hAnsi="仿宋" w:eastAsia="仿宋" w:cs="仿宋"/>
          <w:color w:val="333333"/>
          <w:kern w:val="0"/>
          <w:sz w:val="28"/>
          <w:szCs w:val="28"/>
          <w:highlight w:val="none"/>
          <w:lang w:val="en-US" w:eastAsia="zh-CN"/>
        </w:rPr>
        <w:t>帅印</w:t>
      </w:r>
    </w:p>
    <w:p>
      <w:pPr>
        <w:widowControl/>
        <w:spacing w:line="560" w:lineRule="exact"/>
        <w:ind w:firstLine="560"/>
        <w:jc w:val="left"/>
        <w:rPr>
          <w:rFonts w:hint="default"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rPr>
        <w:t>电 话：0551-6</w:t>
      </w:r>
      <w:r>
        <w:rPr>
          <w:rFonts w:hint="eastAsia" w:ascii="仿宋" w:hAnsi="仿宋" w:eastAsia="仿宋" w:cs="仿宋"/>
          <w:color w:val="333333"/>
          <w:kern w:val="0"/>
          <w:sz w:val="28"/>
          <w:szCs w:val="28"/>
          <w:highlight w:val="none"/>
          <w:lang w:val="en-US" w:eastAsia="zh-CN"/>
        </w:rPr>
        <w:t>7331027</w:t>
      </w:r>
    </w:p>
    <w:p>
      <w:pPr>
        <w:widowControl/>
        <w:spacing w:line="560" w:lineRule="exact"/>
        <w:ind w:firstLine="560"/>
        <w:jc w:val="left"/>
        <w:outlineLvl w:val="1"/>
        <w:rPr>
          <w:rFonts w:ascii="仿宋" w:hAnsi="仿宋" w:eastAsia="仿宋" w:cs="仿宋"/>
          <w:color w:val="333333"/>
          <w:kern w:val="0"/>
          <w:sz w:val="28"/>
          <w:szCs w:val="28"/>
        </w:rPr>
      </w:pPr>
      <w:r>
        <w:rPr>
          <w:rFonts w:hint="eastAsia" w:ascii="仿宋" w:hAnsi="仿宋" w:eastAsia="仿宋" w:cs="仿宋"/>
          <w:color w:val="333333"/>
          <w:kern w:val="0"/>
          <w:sz w:val="28"/>
          <w:szCs w:val="28"/>
        </w:rPr>
        <w:t>11.2 招标代理机构</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招标代理机构：肥东县公共资源交易有限公司</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地 址：合肥市肥东县店埠镇深秀路2号肥东县政务服务中心四楼B区</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邮 编：231600</w:t>
      </w:r>
    </w:p>
    <w:p>
      <w:pPr>
        <w:widowControl/>
        <w:spacing w:line="560" w:lineRule="exact"/>
        <w:ind w:firstLine="560"/>
        <w:jc w:val="left"/>
        <w:rPr>
          <w:rFonts w:hint="eastAsia" w:ascii="仿宋" w:hAnsi="仿宋" w:eastAsia="仿宋" w:cs="仿宋"/>
          <w:color w:val="333333"/>
          <w:kern w:val="0"/>
          <w:sz w:val="28"/>
          <w:szCs w:val="28"/>
          <w:highlight w:val="yellow"/>
          <w:lang w:eastAsia="zh-CN"/>
        </w:rPr>
      </w:pPr>
      <w:r>
        <w:rPr>
          <w:rFonts w:hint="eastAsia" w:ascii="仿宋" w:hAnsi="仿宋" w:eastAsia="仿宋" w:cs="仿宋"/>
          <w:color w:val="333333"/>
          <w:kern w:val="0"/>
          <w:sz w:val="28"/>
          <w:szCs w:val="28"/>
        </w:rPr>
        <w:t>联系人：</w:t>
      </w:r>
      <w:r>
        <w:rPr>
          <w:rFonts w:hint="eastAsia" w:ascii="仿宋" w:hAnsi="仿宋" w:eastAsia="仿宋" w:cs="仿宋"/>
          <w:color w:val="333333"/>
          <w:kern w:val="0"/>
          <w:sz w:val="28"/>
          <w:szCs w:val="28"/>
          <w:highlight w:val="none"/>
          <w:lang w:val="en-US" w:eastAsia="zh-CN"/>
        </w:rPr>
        <w:t>茹康</w:t>
      </w:r>
    </w:p>
    <w:p>
      <w:pPr>
        <w:widowControl/>
        <w:spacing w:line="560" w:lineRule="exact"/>
        <w:ind w:firstLine="560"/>
        <w:jc w:val="left"/>
        <w:rPr>
          <w:rFonts w:hint="default"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rPr>
        <w:t>电 话：0551-6</w:t>
      </w:r>
      <w:r>
        <w:rPr>
          <w:rFonts w:hint="eastAsia" w:ascii="仿宋" w:hAnsi="仿宋" w:eastAsia="仿宋" w:cs="仿宋"/>
          <w:color w:val="333333"/>
          <w:kern w:val="0"/>
          <w:sz w:val="28"/>
          <w:szCs w:val="28"/>
          <w:highlight w:val="none"/>
          <w:lang w:val="en-US" w:eastAsia="zh-CN"/>
        </w:rPr>
        <w:t>7758760</w:t>
      </w:r>
    </w:p>
    <w:p>
      <w:pPr>
        <w:widowControl/>
        <w:spacing w:line="560" w:lineRule="exact"/>
        <w:ind w:firstLine="560"/>
        <w:jc w:val="left"/>
        <w:outlineLvl w:val="1"/>
        <w:rPr>
          <w:rFonts w:ascii="仿宋" w:hAnsi="仿宋" w:eastAsia="仿宋" w:cs="仿宋"/>
          <w:color w:val="333333"/>
          <w:kern w:val="0"/>
          <w:sz w:val="28"/>
          <w:szCs w:val="28"/>
        </w:rPr>
      </w:pPr>
      <w:r>
        <w:rPr>
          <w:rFonts w:hint="eastAsia" w:ascii="仿宋" w:hAnsi="仿宋" w:eastAsia="仿宋" w:cs="仿宋"/>
          <w:color w:val="333333"/>
          <w:kern w:val="0"/>
          <w:sz w:val="28"/>
          <w:szCs w:val="28"/>
        </w:rPr>
        <w:t>11.3 电子交易系统</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电子交易系统名称：安徽合肥公共资源交易中心电子交易系统</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电子交易系统电话：</w:t>
      </w:r>
      <w:r>
        <w:rPr>
          <w:rFonts w:hint="eastAsia" w:ascii="仿宋" w:hAnsi="仿宋" w:eastAsia="仿宋"/>
          <w:sz w:val="28"/>
          <w:szCs w:val="28"/>
          <w:lang w:val="en-US" w:eastAsia="zh-CN"/>
        </w:rPr>
        <w:t>0512-58188516</w:t>
      </w:r>
    </w:p>
    <w:p>
      <w:pPr>
        <w:widowControl/>
        <w:spacing w:line="560" w:lineRule="exact"/>
        <w:ind w:firstLine="560"/>
        <w:jc w:val="left"/>
        <w:outlineLvl w:val="1"/>
        <w:rPr>
          <w:rFonts w:ascii="仿宋" w:hAnsi="仿宋" w:eastAsia="仿宋" w:cs="仿宋"/>
          <w:color w:val="333333"/>
          <w:kern w:val="0"/>
          <w:sz w:val="28"/>
          <w:szCs w:val="28"/>
        </w:rPr>
      </w:pPr>
      <w:r>
        <w:rPr>
          <w:rFonts w:hint="eastAsia" w:ascii="仿宋" w:hAnsi="仿宋" w:eastAsia="仿宋" w:cs="仿宋"/>
          <w:color w:val="333333"/>
          <w:kern w:val="0"/>
          <w:sz w:val="28"/>
          <w:szCs w:val="28"/>
        </w:rPr>
        <w:t>11.4 电子服务系统</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电子服务系统名称：安徽合肥公共资源交易电子服务系统</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电子服务系统电话：</w:t>
      </w:r>
      <w:r>
        <w:rPr>
          <w:rFonts w:hint="eastAsia" w:ascii="仿宋" w:hAnsi="仿宋" w:eastAsia="仿宋"/>
          <w:color w:val="auto"/>
          <w:sz w:val="28"/>
          <w:szCs w:val="28"/>
          <w:highlight w:val="none"/>
          <w:lang w:val="en-US" w:eastAsia="zh-CN"/>
        </w:rPr>
        <w:t>0551-66223830、0512-58188516</w:t>
      </w:r>
    </w:p>
    <w:p>
      <w:pPr>
        <w:widowControl/>
        <w:spacing w:line="560" w:lineRule="exact"/>
        <w:ind w:firstLine="560"/>
        <w:jc w:val="left"/>
        <w:outlineLvl w:val="1"/>
        <w:rPr>
          <w:rFonts w:ascii="仿宋" w:hAnsi="仿宋" w:eastAsia="仿宋" w:cs="仿宋"/>
          <w:color w:val="333333"/>
          <w:kern w:val="0"/>
          <w:sz w:val="28"/>
          <w:szCs w:val="28"/>
        </w:rPr>
      </w:pPr>
      <w:r>
        <w:rPr>
          <w:rFonts w:hint="eastAsia" w:ascii="仿宋" w:hAnsi="仿宋" w:eastAsia="仿宋" w:cs="仿宋"/>
          <w:color w:val="333333"/>
          <w:kern w:val="0"/>
          <w:sz w:val="28"/>
          <w:szCs w:val="28"/>
        </w:rPr>
        <w:t>11.5</w:t>
      </w:r>
      <w:r>
        <w:rPr>
          <w:rFonts w:hint="eastAsia" w:ascii="仿宋" w:hAnsi="仿宋" w:eastAsia="仿宋"/>
          <w:sz w:val="28"/>
          <w:szCs w:val="28"/>
        </w:rPr>
        <w:t>公共资源交易监督管理部门</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sz w:val="28"/>
          <w:szCs w:val="28"/>
        </w:rPr>
        <w:t>公共资源交易监督管理部门</w:t>
      </w:r>
      <w:r>
        <w:rPr>
          <w:rFonts w:hint="eastAsia" w:ascii="仿宋" w:hAnsi="仿宋" w:eastAsia="仿宋" w:cs="仿宋"/>
          <w:color w:val="333333"/>
          <w:kern w:val="0"/>
          <w:sz w:val="28"/>
          <w:szCs w:val="28"/>
        </w:rPr>
        <w:t>：肥东县发展和改革委员会</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地址：合肥市肥东县店埠镇龙泉路8号</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电话：0551-67711296</w:t>
      </w:r>
    </w:p>
    <w:p>
      <w:pPr>
        <w:widowControl/>
        <w:spacing w:line="560" w:lineRule="exact"/>
        <w:ind w:firstLine="0" w:firstLineChars="0"/>
        <w:jc w:val="left"/>
        <w:outlineLvl w:val="0"/>
        <w:rPr>
          <w:rFonts w:ascii="黑体" w:hAnsi="宋体" w:eastAsia="黑体" w:cs="黑体"/>
          <w:bCs/>
          <w:color w:val="333333"/>
          <w:kern w:val="0"/>
          <w:sz w:val="28"/>
          <w:szCs w:val="28"/>
        </w:rPr>
      </w:pPr>
      <w:r>
        <w:rPr>
          <w:rFonts w:hint="eastAsia" w:ascii="黑体" w:hAnsi="宋体" w:eastAsia="黑体" w:cs="黑体"/>
          <w:bCs/>
          <w:color w:val="333333"/>
          <w:kern w:val="0"/>
          <w:sz w:val="28"/>
          <w:szCs w:val="28"/>
        </w:rPr>
        <w:t>12.其他事项说明</w:t>
      </w:r>
    </w:p>
    <w:p>
      <w:pPr>
        <w:widowControl/>
        <w:spacing w:line="560" w:lineRule="exact"/>
        <w:ind w:firstLine="560"/>
        <w:jc w:val="left"/>
      </w:pPr>
      <w:r>
        <w:rPr>
          <w:rFonts w:hint="eastAsia" w:ascii="仿宋" w:hAnsi="仿宋" w:eastAsia="仿宋" w:cs="仿宋"/>
          <w:color w:val="333333"/>
          <w:kern w:val="0"/>
          <w:sz w:val="28"/>
          <w:szCs w:val="28"/>
        </w:rPr>
        <w:t>投标人应合理安排招标文件获取时间，特别是网络速度慢的地区防止在系统关闭前网络拥堵无法操作。如果因计算机及网络故障造成无法完成招标文件获取，责任自负。</w:t>
      </w:r>
    </w:p>
    <w:p>
      <w:pPr>
        <w:widowControl/>
        <w:spacing w:line="560" w:lineRule="exact"/>
        <w:ind w:firstLine="0" w:firstLineChars="0"/>
        <w:jc w:val="left"/>
        <w:outlineLvl w:val="0"/>
      </w:pPr>
      <w:r>
        <w:rPr>
          <w:rFonts w:hint="eastAsia" w:ascii="黑体" w:hAnsi="黑体" w:eastAsia="黑体" w:cs="黑体"/>
          <w:sz w:val="28"/>
          <w:szCs w:val="28"/>
        </w:rPr>
        <w:t>13.</w:t>
      </w:r>
      <w:r>
        <w:rPr>
          <w:rFonts w:hint="eastAsia" w:ascii="黑体" w:hAnsi="宋体" w:eastAsia="黑体" w:cs="黑体"/>
          <w:bCs/>
          <w:color w:val="333333"/>
          <w:kern w:val="0"/>
          <w:sz w:val="28"/>
          <w:szCs w:val="28"/>
        </w:rPr>
        <w:t>投标保证金账户</w:t>
      </w:r>
    </w:p>
    <w:p>
      <w:pPr>
        <w:widowControl/>
        <w:spacing w:line="560" w:lineRule="exact"/>
        <w:ind w:firstLine="56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标段简称:1标段</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8"/>
          <w:szCs w:val="28"/>
        </w:rPr>
        <w:t xml:space="preserve">    中国银行</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8"/>
          <w:szCs w:val="28"/>
        </w:rPr>
        <w:t xml:space="preserve">    户名：肥东县公共资源交易中心</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8"/>
          <w:szCs w:val="28"/>
        </w:rPr>
        <w:t xml:space="preserve">    账号：</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8"/>
          <w:szCs w:val="28"/>
        </w:rPr>
        <w:t xml:space="preserve">    开户银行：中国银行肥东支行</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8"/>
          <w:szCs w:val="28"/>
        </w:rPr>
        <w:t xml:space="preserve">    民生银行</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8"/>
          <w:szCs w:val="28"/>
        </w:rPr>
        <w:t xml:space="preserve">    户名：肥东县公共资源交易中心</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8"/>
          <w:szCs w:val="28"/>
        </w:rPr>
        <w:t xml:space="preserve">    账号：</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8"/>
          <w:szCs w:val="28"/>
        </w:rPr>
        <w:t xml:space="preserve">    开户银行：中国民生银行股份有限公司肥东支行</w:t>
      </w:r>
      <w:r>
        <w:rPr>
          <w:rFonts w:hint="eastAsia" w:ascii="仿宋" w:hAnsi="仿宋" w:eastAsia="仿宋" w:cs="仿宋"/>
          <w:color w:val="333333"/>
          <w:kern w:val="0"/>
          <w:sz w:val="28"/>
          <w:szCs w:val="28"/>
        </w:rPr>
        <w:br w:type="textWrapping"/>
      </w:r>
      <w:r>
        <w:rPr>
          <w:rFonts w:hint="eastAsia" w:ascii="仿宋" w:hAnsi="仿宋" w:eastAsia="仿宋" w:cs="仿宋"/>
          <w:color w:val="333333"/>
          <w:kern w:val="0"/>
          <w:sz w:val="28"/>
          <w:szCs w:val="28"/>
        </w:rPr>
        <w:t xml:space="preserve">    </w:t>
      </w:r>
    </w:p>
    <w:bookmarkEnd w:id="2"/>
    <w:bookmarkEnd w:id="3"/>
    <w:bookmarkEnd w:id="4"/>
    <w:bookmarkEnd w:id="5"/>
    <w:bookmarkEnd w:id="6"/>
    <w:bookmarkEnd w:id="7"/>
    <w:bookmarkEnd w:id="8"/>
    <w:bookmarkEnd w:id="9"/>
    <w:bookmarkEnd w:id="10"/>
    <w:bookmarkEnd w:id="11"/>
    <w:p>
      <w:pPr>
        <w:widowControl/>
        <w:ind w:firstLine="0" w:firstLineChars="0"/>
        <w:jc w:val="left"/>
        <w:rPr>
          <w:sz w:val="24"/>
        </w:rPr>
      </w:pPr>
      <w:bookmarkStart w:id="12" w:name="_Toc9067710"/>
      <w:bookmarkStart w:id="13" w:name="_Toc14201197"/>
      <w:bookmarkStart w:id="14" w:name="_Toc512280906"/>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sz w:val="24"/>
        </w:rPr>
      </w:pPr>
    </w:p>
    <w:p>
      <w:pPr>
        <w:widowControl/>
        <w:ind w:firstLine="0" w:firstLineChars="0"/>
        <w:jc w:val="left"/>
        <w:rPr>
          <w:rFonts w:eastAsia="黑体"/>
          <w:bCs/>
          <w:kern w:val="44"/>
          <w:sz w:val="44"/>
          <w:szCs w:val="44"/>
        </w:rPr>
      </w:pPr>
    </w:p>
    <w:p>
      <w:pPr>
        <w:pStyle w:val="4"/>
        <w:spacing w:before="0" w:after="0" w:line="360" w:lineRule="auto"/>
        <w:ind w:firstLine="3040" w:firstLineChars="950"/>
        <w:rPr>
          <w:rFonts w:ascii="黑体" w:hAnsi="黑体" w:eastAsia="黑体"/>
          <w:b w:val="0"/>
          <w:sz w:val="32"/>
          <w:szCs w:val="32"/>
        </w:rPr>
      </w:pPr>
      <w:bookmarkStart w:id="15" w:name="_Toc138689336"/>
      <w:r>
        <w:rPr>
          <w:rFonts w:ascii="黑体" w:hAnsi="黑体" w:eastAsia="黑体"/>
          <w:b w:val="0"/>
          <w:sz w:val="32"/>
          <w:szCs w:val="32"/>
        </w:rPr>
        <w:t>第二章</w:t>
      </w:r>
      <w:r>
        <w:rPr>
          <w:rFonts w:hint="eastAsia" w:ascii="黑体" w:hAnsi="黑体" w:eastAsia="黑体"/>
          <w:b w:val="0"/>
          <w:sz w:val="32"/>
          <w:szCs w:val="32"/>
          <w:lang w:val="en-US" w:eastAsia="zh-CN"/>
        </w:rPr>
        <w:t xml:space="preserve"> </w:t>
      </w:r>
      <w:r>
        <w:rPr>
          <w:rFonts w:ascii="黑体" w:hAnsi="黑体" w:eastAsia="黑体"/>
          <w:b w:val="0"/>
          <w:sz w:val="32"/>
          <w:szCs w:val="32"/>
        </w:rPr>
        <w:t>投标人须知</w:t>
      </w:r>
      <w:bookmarkEnd w:id="12"/>
      <w:bookmarkEnd w:id="13"/>
      <w:bookmarkEnd w:id="14"/>
      <w:bookmarkEnd w:id="15"/>
    </w:p>
    <w:p>
      <w:pPr>
        <w:spacing w:line="440" w:lineRule="exact"/>
        <w:ind w:firstLine="0" w:firstLineChars="0"/>
        <w:jc w:val="center"/>
        <w:outlineLvl w:val="1"/>
        <w:rPr>
          <w:rFonts w:eastAsia="黑体"/>
          <w:sz w:val="28"/>
          <w:szCs w:val="28"/>
        </w:rPr>
      </w:pPr>
      <w:bookmarkStart w:id="16" w:name="_Toc138689337"/>
      <w:bookmarkStart w:id="17" w:name="_Toc131087818"/>
      <w:bookmarkStart w:id="18" w:name="_Toc133311679"/>
      <w:r>
        <w:rPr>
          <w:rFonts w:eastAsia="黑体"/>
          <w:sz w:val="28"/>
          <w:szCs w:val="28"/>
        </w:rPr>
        <w:t>投标人须知前附表</w:t>
      </w:r>
      <w:bookmarkEnd w:id="16"/>
      <w:bookmarkEnd w:id="17"/>
      <w:bookmarkEnd w:id="18"/>
    </w:p>
    <w:tbl>
      <w:tblPr>
        <w:tblStyle w:val="56"/>
        <w:tblW w:w="8883" w:type="dxa"/>
        <w:tblInd w:w="0" w:type="dxa"/>
        <w:tblLayout w:type="autofit"/>
        <w:tblCellMar>
          <w:top w:w="0" w:type="dxa"/>
          <w:left w:w="108" w:type="dxa"/>
          <w:bottom w:w="0" w:type="dxa"/>
          <w:right w:w="108" w:type="dxa"/>
        </w:tblCellMar>
      </w:tblPr>
      <w:tblGrid>
        <w:gridCol w:w="979"/>
        <w:gridCol w:w="2063"/>
        <w:gridCol w:w="5841"/>
      </w:tblGrid>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beforeLines="50" w:afterLines="50"/>
              <w:ind w:firstLine="0" w:firstLineChars="0"/>
              <w:jc w:val="center"/>
              <w:rPr>
                <w:b/>
                <w:sz w:val="24"/>
              </w:rPr>
            </w:pPr>
            <w:r>
              <w:rPr>
                <w:rFonts w:hint="eastAsia"/>
                <w:b/>
                <w:sz w:val="24"/>
              </w:rPr>
              <w:t>条款号</w:t>
            </w:r>
          </w:p>
        </w:tc>
        <w:tc>
          <w:tcPr>
            <w:tcW w:w="2556" w:type="dxa"/>
            <w:tcBorders>
              <w:top w:val="single" w:color="auto" w:sz="4" w:space="0"/>
              <w:left w:val="single" w:color="auto" w:sz="4" w:space="0"/>
              <w:bottom w:val="single" w:color="auto" w:sz="4" w:space="0"/>
              <w:right w:val="single" w:color="auto" w:sz="4" w:space="0"/>
            </w:tcBorders>
            <w:vAlign w:val="center"/>
          </w:tcPr>
          <w:p>
            <w:pPr>
              <w:spacing w:beforeLines="50" w:afterLines="50"/>
              <w:ind w:firstLine="0" w:firstLineChars="0"/>
              <w:jc w:val="center"/>
              <w:rPr>
                <w:b/>
                <w:sz w:val="24"/>
              </w:rPr>
            </w:pPr>
            <w:r>
              <w:rPr>
                <w:rFonts w:hint="eastAsia"/>
                <w:b/>
                <w:sz w:val="24"/>
              </w:rPr>
              <w:t>条款名称</w:t>
            </w:r>
          </w:p>
        </w:tc>
        <w:tc>
          <w:tcPr>
            <w:tcW w:w="5332" w:type="dxa"/>
            <w:tcBorders>
              <w:top w:val="single" w:color="auto" w:sz="4" w:space="0"/>
              <w:left w:val="single" w:color="auto" w:sz="4" w:space="0"/>
              <w:bottom w:val="single" w:color="auto" w:sz="4" w:space="0"/>
              <w:right w:val="single" w:color="auto" w:sz="4" w:space="0"/>
            </w:tcBorders>
            <w:vAlign w:val="center"/>
          </w:tcPr>
          <w:p>
            <w:pPr>
              <w:spacing w:beforeLines="50" w:afterLines="50"/>
              <w:ind w:firstLine="0" w:firstLineChars="0"/>
              <w:jc w:val="center"/>
              <w:rPr>
                <w:b/>
                <w:sz w:val="24"/>
              </w:rPr>
            </w:pPr>
            <w:r>
              <w:rPr>
                <w:rFonts w:hint="eastAsia"/>
                <w:b/>
                <w:sz w:val="24"/>
              </w:rPr>
              <w:t>编列内容</w:t>
            </w:r>
          </w:p>
        </w:tc>
      </w:tr>
      <w:tr>
        <w:tblPrEx>
          <w:tblCellMar>
            <w:top w:w="0" w:type="dxa"/>
            <w:left w:w="108" w:type="dxa"/>
            <w:bottom w:w="0" w:type="dxa"/>
            <w:right w:w="108" w:type="dxa"/>
          </w:tblCellMar>
        </w:tblPrEx>
        <w:trPr>
          <w:trHeight w:val="1605"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1.3.2</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计划工期</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ascii="宋体" w:hAnsi="宋体" w:cs="等线"/>
                <w:bCs/>
                <w:snapToGrid w:val="0"/>
                <w:kern w:val="0"/>
                <w:sz w:val="24"/>
              </w:rPr>
            </w:pPr>
            <w:r>
              <w:rPr>
                <w:rFonts w:hint="eastAsia" w:ascii="宋体" w:hAnsi="宋体" w:cs="等线"/>
                <w:bCs/>
                <w:snapToGrid w:val="0"/>
                <w:kern w:val="0"/>
                <w:sz w:val="24"/>
              </w:rPr>
              <w:t xml:space="preserve">计划工期：见招标公告 </w:t>
            </w:r>
          </w:p>
          <w:p>
            <w:pPr>
              <w:spacing w:line="400" w:lineRule="atLeast"/>
              <w:ind w:firstLine="0" w:firstLineChars="0"/>
              <w:rPr>
                <w:rFonts w:ascii="宋体" w:hAnsi="宋体" w:cs="等线"/>
                <w:bCs/>
                <w:snapToGrid w:val="0"/>
                <w:kern w:val="0"/>
                <w:sz w:val="24"/>
              </w:rPr>
            </w:pPr>
            <w:r>
              <w:rPr>
                <w:rFonts w:hint="eastAsia" w:ascii="宋体" w:hAnsi="宋体" w:cs="等线"/>
                <w:bCs/>
                <w:snapToGrid w:val="0"/>
                <w:kern w:val="0"/>
                <w:sz w:val="24"/>
              </w:rPr>
              <w:t>计划开工日期：</w:t>
            </w:r>
            <w:r>
              <w:rPr>
                <w:rFonts w:hint="eastAsia" w:ascii="宋体" w:hAnsi="宋体" w:cs="等线"/>
                <w:bCs/>
                <w:snapToGrid w:val="0"/>
                <w:kern w:val="0"/>
                <w:sz w:val="24"/>
                <w:highlight w:val="none"/>
                <w:u w:val="single"/>
              </w:rPr>
              <w:t>202</w:t>
            </w:r>
            <w:r>
              <w:rPr>
                <w:rFonts w:hint="eastAsia" w:ascii="宋体" w:hAnsi="宋体" w:cs="等线"/>
                <w:bCs/>
                <w:snapToGrid w:val="0"/>
                <w:kern w:val="0"/>
                <w:sz w:val="24"/>
                <w:highlight w:val="none"/>
                <w:u w:val="single"/>
                <w:lang w:val="en-US" w:eastAsia="zh-CN"/>
              </w:rPr>
              <w:t>5</w:t>
            </w:r>
            <w:r>
              <w:rPr>
                <w:rFonts w:hint="eastAsia" w:ascii="宋体" w:hAnsi="宋体" w:cs="等线"/>
                <w:bCs/>
                <w:snapToGrid w:val="0"/>
                <w:kern w:val="0"/>
                <w:sz w:val="24"/>
                <w:highlight w:val="none"/>
              </w:rPr>
              <w:t>年</w:t>
            </w:r>
            <w:r>
              <w:rPr>
                <w:rFonts w:hint="eastAsia" w:ascii="宋体" w:hAnsi="宋体" w:cs="等线"/>
                <w:bCs/>
                <w:snapToGrid w:val="0"/>
                <w:kern w:val="0"/>
                <w:sz w:val="24"/>
                <w:highlight w:val="none"/>
                <w:u w:val="single"/>
                <w:lang w:val="en-US" w:eastAsia="zh-CN"/>
              </w:rPr>
              <w:t xml:space="preserve">  </w:t>
            </w:r>
            <w:r>
              <w:rPr>
                <w:rFonts w:hint="eastAsia" w:ascii="宋体" w:hAnsi="宋体" w:cs="等线"/>
                <w:bCs/>
                <w:snapToGrid w:val="0"/>
                <w:kern w:val="0"/>
                <w:sz w:val="24"/>
                <w:highlight w:val="none"/>
              </w:rPr>
              <w:t>月</w:t>
            </w:r>
            <w:r>
              <w:rPr>
                <w:rFonts w:hint="eastAsia" w:ascii="宋体" w:hAnsi="宋体" w:cs="等线"/>
                <w:bCs/>
                <w:snapToGrid w:val="0"/>
                <w:kern w:val="0"/>
                <w:sz w:val="24"/>
                <w:highlight w:val="none"/>
                <w:u w:val="single"/>
                <w:lang w:val="en-US" w:eastAsia="zh-CN"/>
              </w:rPr>
              <w:t xml:space="preserve">  </w:t>
            </w:r>
            <w:r>
              <w:rPr>
                <w:rFonts w:hint="eastAsia" w:ascii="宋体" w:hAnsi="宋体" w:cs="等线"/>
                <w:bCs/>
                <w:snapToGrid w:val="0"/>
                <w:kern w:val="0"/>
                <w:sz w:val="24"/>
                <w:highlight w:val="none"/>
              </w:rPr>
              <w:t>日</w:t>
            </w:r>
            <w:r>
              <w:rPr>
                <w:rFonts w:hint="eastAsia" w:ascii="宋体" w:hAnsi="宋体" w:cs="等线"/>
                <w:bCs/>
                <w:snapToGrid w:val="0"/>
                <w:kern w:val="0"/>
                <w:sz w:val="24"/>
              </w:rPr>
              <w:t>（具体开工日期以开工通知为准）</w:t>
            </w:r>
          </w:p>
          <w:p>
            <w:pPr>
              <w:spacing w:line="400" w:lineRule="atLeast"/>
              <w:ind w:firstLine="0" w:firstLineChars="0"/>
              <w:rPr>
                <w:rFonts w:ascii="等线" w:hAnsi="等线" w:eastAsia="等线" w:cs="等线"/>
                <w:bCs/>
                <w:snapToGrid w:val="0"/>
                <w:kern w:val="0"/>
                <w:sz w:val="24"/>
              </w:rPr>
            </w:pPr>
            <w:r>
              <w:rPr>
                <w:rFonts w:ascii="宋体" w:hAnsi="宋体" w:cs="等线"/>
                <w:bCs/>
                <w:snapToGrid w:val="0"/>
                <w:kern w:val="0"/>
                <w:sz w:val="24"/>
              </w:rPr>
              <w:t>除上述总工期外，发包人还要求以下区段/节点工期：</w:t>
            </w:r>
            <w:r>
              <w:rPr>
                <w:rFonts w:ascii="宋体" w:hAnsi="宋体" w:cs="等线"/>
                <w:bCs/>
                <w:snapToGrid w:val="0"/>
                <w:kern w:val="0"/>
                <w:sz w:val="24"/>
                <w:u w:val="single"/>
              </w:rPr>
              <w:t xml:space="preserve">  </w:t>
            </w:r>
            <w:r>
              <w:rPr>
                <w:rFonts w:hint="eastAsia" w:ascii="宋体" w:hAnsi="宋体" w:cs="等线"/>
                <w:bCs/>
                <w:snapToGrid w:val="0"/>
                <w:kern w:val="0"/>
                <w:sz w:val="24"/>
                <w:u w:val="single"/>
              </w:rPr>
              <w:t>/</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1.3.3</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质量要求</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标段工程交工验收的质量评定：合格；</w:t>
            </w:r>
          </w:p>
          <w:p>
            <w:pPr>
              <w:spacing w:line="400" w:lineRule="atLeast"/>
              <w:ind w:firstLine="0" w:firstLineChars="0"/>
              <w:rPr>
                <w:rFonts w:cs="宋体"/>
                <w:kern w:val="0"/>
                <w:sz w:val="24"/>
              </w:rPr>
            </w:pPr>
            <w:r>
              <w:rPr>
                <w:rFonts w:hint="eastAsia"/>
                <w:sz w:val="24"/>
              </w:rPr>
              <w:t>竣工验收的质量评定：合格。</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1.3.4</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安全目标</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无安全责任事故</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1.4.1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投标人资质条件、能力和信誉</w:t>
            </w:r>
          </w:p>
        </w:tc>
        <w:tc>
          <w:tcPr>
            <w:tcW w:w="5332"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ind w:firstLine="0" w:firstLineChars="0"/>
              <w:rPr>
                <w:sz w:val="24"/>
              </w:rPr>
            </w:pPr>
            <w:r>
              <w:rPr>
                <w:rFonts w:hint="eastAsia"/>
                <w:sz w:val="24"/>
              </w:rPr>
              <w:t>（</w:t>
            </w:r>
            <w:r>
              <w:rPr>
                <w:sz w:val="24"/>
              </w:rPr>
              <w:t>1</w:t>
            </w:r>
            <w:r>
              <w:rPr>
                <w:rFonts w:hint="eastAsia"/>
                <w:sz w:val="24"/>
              </w:rPr>
              <w:t>）资质条件：见附录</w:t>
            </w:r>
            <w:r>
              <w:rPr>
                <w:sz w:val="24"/>
              </w:rPr>
              <w:t>1</w:t>
            </w:r>
          </w:p>
          <w:p>
            <w:pPr>
              <w:topLinePunct/>
              <w:spacing w:line="400" w:lineRule="atLeast"/>
              <w:ind w:firstLine="0" w:firstLineChars="0"/>
              <w:rPr>
                <w:sz w:val="24"/>
              </w:rPr>
            </w:pPr>
            <w:r>
              <w:rPr>
                <w:rFonts w:hint="eastAsia"/>
                <w:sz w:val="24"/>
              </w:rPr>
              <w:t>（</w:t>
            </w:r>
            <w:r>
              <w:rPr>
                <w:sz w:val="24"/>
              </w:rPr>
              <w:t>2</w:t>
            </w:r>
            <w:r>
              <w:rPr>
                <w:rFonts w:hint="eastAsia"/>
                <w:sz w:val="24"/>
              </w:rPr>
              <w:t>）财务要求：见附录</w:t>
            </w:r>
            <w:r>
              <w:rPr>
                <w:sz w:val="24"/>
              </w:rPr>
              <w:t>2</w:t>
            </w:r>
          </w:p>
          <w:p>
            <w:pPr>
              <w:topLinePunct/>
              <w:spacing w:line="400" w:lineRule="atLeast"/>
              <w:ind w:firstLine="0" w:firstLineChars="0"/>
              <w:rPr>
                <w:sz w:val="24"/>
              </w:rPr>
            </w:pPr>
            <w:r>
              <w:rPr>
                <w:rFonts w:hint="eastAsia"/>
                <w:sz w:val="24"/>
              </w:rPr>
              <w:t>（</w:t>
            </w:r>
            <w:r>
              <w:rPr>
                <w:sz w:val="24"/>
              </w:rPr>
              <w:t>3</w:t>
            </w:r>
            <w:r>
              <w:rPr>
                <w:rFonts w:hint="eastAsia"/>
                <w:sz w:val="24"/>
              </w:rPr>
              <w:t>）业绩要求：见附录</w:t>
            </w:r>
            <w:r>
              <w:rPr>
                <w:sz w:val="24"/>
              </w:rPr>
              <w:t>3</w:t>
            </w:r>
          </w:p>
          <w:p>
            <w:pPr>
              <w:topLinePunct/>
              <w:spacing w:line="400" w:lineRule="atLeast"/>
              <w:ind w:firstLine="0" w:firstLineChars="0"/>
              <w:rPr>
                <w:sz w:val="24"/>
              </w:rPr>
            </w:pPr>
            <w:r>
              <w:rPr>
                <w:rFonts w:hint="eastAsia"/>
                <w:sz w:val="24"/>
              </w:rPr>
              <w:t>（</w:t>
            </w:r>
            <w:r>
              <w:rPr>
                <w:sz w:val="24"/>
              </w:rPr>
              <w:t>4</w:t>
            </w:r>
            <w:r>
              <w:rPr>
                <w:rFonts w:hint="eastAsia"/>
                <w:sz w:val="24"/>
              </w:rPr>
              <w:t>）信誉要求：见附录</w:t>
            </w:r>
            <w:r>
              <w:rPr>
                <w:sz w:val="24"/>
              </w:rPr>
              <w:t>4</w:t>
            </w:r>
          </w:p>
          <w:p>
            <w:pPr>
              <w:topLinePunct/>
              <w:spacing w:line="400" w:lineRule="atLeast"/>
              <w:ind w:firstLine="0" w:firstLineChars="0"/>
              <w:rPr>
                <w:sz w:val="24"/>
              </w:rPr>
            </w:pPr>
            <w:r>
              <w:rPr>
                <w:rFonts w:hint="eastAsia"/>
                <w:sz w:val="24"/>
              </w:rPr>
              <w:t>（</w:t>
            </w:r>
            <w:r>
              <w:rPr>
                <w:sz w:val="24"/>
              </w:rPr>
              <w:t>5</w:t>
            </w:r>
            <w:r>
              <w:rPr>
                <w:rFonts w:hint="eastAsia"/>
                <w:sz w:val="24"/>
              </w:rPr>
              <w:t>）项目经理和项目总工资格：见附录</w:t>
            </w:r>
            <w:r>
              <w:rPr>
                <w:sz w:val="24"/>
              </w:rPr>
              <w:t>5</w:t>
            </w:r>
          </w:p>
          <w:p>
            <w:pPr>
              <w:topLinePunct/>
              <w:spacing w:line="400" w:lineRule="atLeast"/>
              <w:ind w:firstLine="0" w:firstLineChars="0"/>
              <w:rPr>
                <w:rFonts w:cs="宋体"/>
                <w:kern w:val="0"/>
                <w:sz w:val="24"/>
              </w:rPr>
            </w:pPr>
            <w:r>
              <w:rPr>
                <w:rFonts w:hint="eastAsia"/>
                <w:sz w:val="24"/>
              </w:rPr>
              <w:t>（</w:t>
            </w:r>
            <w:r>
              <w:rPr>
                <w:sz w:val="24"/>
              </w:rPr>
              <w:t>6</w:t>
            </w:r>
            <w:r>
              <w:rPr>
                <w:rFonts w:hint="eastAsia"/>
                <w:sz w:val="24"/>
              </w:rPr>
              <w:t>）其他要求：见附录6</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1.4.2</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是否接受联合体投标</w:t>
            </w:r>
          </w:p>
        </w:tc>
        <w:tc>
          <w:tcPr>
            <w:tcW w:w="5332"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ind w:firstLine="0" w:firstLineChars="0"/>
              <w:rPr>
                <w:sz w:val="24"/>
                <w:highlight w:val="none"/>
              </w:rPr>
            </w:pPr>
            <w:r>
              <w:rPr>
                <w:rFonts w:hint="eastAsia" w:ascii="MS Mincho" w:hAnsi="MS Mincho" w:eastAsia="MS Mincho" w:cs="MS Mincho"/>
                <w:sz w:val="24"/>
                <w:highlight w:val="none"/>
              </w:rPr>
              <w:t>☑</w:t>
            </w:r>
            <w:r>
              <w:rPr>
                <w:rFonts w:hint="eastAsia"/>
                <w:sz w:val="24"/>
                <w:highlight w:val="none"/>
              </w:rPr>
              <w:t>不接受</w:t>
            </w:r>
          </w:p>
          <w:p>
            <w:pPr>
              <w:topLinePunct/>
              <w:spacing w:line="400" w:lineRule="atLeast"/>
              <w:ind w:firstLine="0" w:firstLineChars="0"/>
              <w:rPr>
                <w:sz w:val="24"/>
              </w:rPr>
            </w:pPr>
            <w:r>
              <w:rPr>
                <w:rFonts w:hint="eastAsia"/>
                <w:sz w:val="24"/>
                <w:highlight w:val="none"/>
              </w:rPr>
              <w:t>□接受，</w:t>
            </w:r>
            <w:r>
              <w:rPr>
                <w:rFonts w:hint="eastAsia"/>
                <w:sz w:val="24"/>
              </w:rPr>
              <w:t>应满足下列要求：</w:t>
            </w:r>
          </w:p>
          <w:p>
            <w:pPr>
              <w:topLinePunct/>
              <w:spacing w:line="400" w:lineRule="atLeast"/>
              <w:ind w:firstLine="0" w:firstLineChars="0"/>
              <w:rPr>
                <w:sz w:val="24"/>
              </w:rPr>
            </w:pPr>
            <w:r>
              <w:rPr>
                <w:rFonts w:hint="eastAsia"/>
                <w:sz w:val="24"/>
              </w:rPr>
              <w:t>（</w:t>
            </w:r>
            <w:r>
              <w:rPr>
                <w:sz w:val="24"/>
              </w:rPr>
              <w:t>1</w:t>
            </w:r>
            <w:r>
              <w:rPr>
                <w:rFonts w:hint="eastAsia"/>
                <w:sz w:val="24"/>
              </w:rPr>
              <w:t>）联合体所有成员数量不得超过</w:t>
            </w:r>
            <w:r>
              <w:rPr>
                <w:sz w:val="24"/>
              </w:rPr>
              <w:t>______</w:t>
            </w:r>
            <w:r>
              <w:rPr>
                <w:rFonts w:hint="eastAsia"/>
                <w:sz w:val="24"/>
              </w:rPr>
              <w:t>家；</w:t>
            </w:r>
          </w:p>
          <w:p>
            <w:pPr>
              <w:topLinePunct/>
              <w:spacing w:line="400" w:lineRule="atLeast"/>
              <w:ind w:firstLine="0" w:firstLineChars="0"/>
              <w:rPr>
                <w:sz w:val="24"/>
              </w:rPr>
            </w:pPr>
            <w:r>
              <w:rPr>
                <w:rFonts w:hint="eastAsia"/>
                <w:sz w:val="24"/>
              </w:rPr>
              <w:t>（</w:t>
            </w:r>
            <w:r>
              <w:rPr>
                <w:sz w:val="24"/>
              </w:rPr>
              <w:t>2</w:t>
            </w:r>
            <w:r>
              <w:rPr>
                <w:rFonts w:hint="eastAsia"/>
                <w:sz w:val="24"/>
              </w:rPr>
              <w:t>）联合体牵头人应具有</w:t>
            </w:r>
            <w:r>
              <w:rPr>
                <w:sz w:val="24"/>
              </w:rPr>
              <w:t>_______</w:t>
            </w:r>
            <w:r>
              <w:rPr>
                <w:rFonts w:hint="eastAsia"/>
                <w:sz w:val="24"/>
              </w:rPr>
              <w:t>资质；</w:t>
            </w:r>
          </w:p>
          <w:p>
            <w:pPr>
              <w:topLinePunct/>
              <w:spacing w:line="400" w:lineRule="atLeast"/>
              <w:ind w:firstLine="0" w:firstLineChars="0"/>
              <w:rPr>
                <w:sz w:val="24"/>
              </w:rPr>
            </w:pPr>
            <w:r>
              <w:rPr>
                <w:rFonts w:hint="eastAsia"/>
                <w:sz w:val="24"/>
              </w:rPr>
              <w:t>（</w:t>
            </w:r>
            <w:r>
              <w:rPr>
                <w:sz w:val="24"/>
              </w:rPr>
              <w:t>3</w:t>
            </w:r>
            <w:r>
              <w:rPr>
                <w:rFonts w:hint="eastAsia"/>
                <w:sz w:val="24"/>
              </w:rPr>
              <w:t>）联合体协议应当明确各成员在合同工程中所承担的专业工程或工作内容及范围。联合体各方应当具备联合体协议书中承担相应专业工程的资质；不承担联合体协议中相关专业工程的成员，其相关的专业资质不作为该联合体该专业的资质进行资格审查；</w:t>
            </w:r>
          </w:p>
          <w:p>
            <w:pPr>
              <w:topLinePunct/>
              <w:spacing w:line="400" w:lineRule="atLeast"/>
              <w:ind w:firstLine="0" w:firstLineChars="0"/>
              <w:rPr>
                <w:sz w:val="24"/>
              </w:rPr>
            </w:pPr>
            <w:r>
              <w:rPr>
                <w:rFonts w:hint="eastAsia"/>
                <w:sz w:val="24"/>
              </w:rPr>
              <w:t>（</w:t>
            </w:r>
            <w:r>
              <w:rPr>
                <w:sz w:val="24"/>
              </w:rPr>
              <w:t>4</w:t>
            </w:r>
            <w:r>
              <w:rPr>
                <w:rFonts w:hint="eastAsia"/>
                <w:sz w:val="24"/>
              </w:rPr>
              <w:t>）联合体信用等级按联合体成员最低信用等级确定；</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1.4.3</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投标人不得存在的其他关联情形</w:t>
            </w:r>
          </w:p>
        </w:tc>
        <w:tc>
          <w:tcPr>
            <w:tcW w:w="53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left"/>
              <w:rPr>
                <w:rFonts w:cs="宋体"/>
                <w:kern w:val="0"/>
                <w:sz w:val="24"/>
              </w:rPr>
            </w:pPr>
            <w:r>
              <w:rPr>
                <w:rFonts w:hint="eastAsia" w:cs="宋体"/>
                <w:kern w:val="0"/>
                <w:sz w:val="24"/>
              </w:rPr>
              <w:t>/</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1.4.4</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投标人不得存在的其他不良状况或不良信用记录</w:t>
            </w:r>
          </w:p>
        </w:tc>
        <w:tc>
          <w:tcPr>
            <w:tcW w:w="53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left"/>
              <w:rPr>
                <w:rFonts w:cs="宋体"/>
                <w:kern w:val="0"/>
                <w:sz w:val="24"/>
              </w:rPr>
            </w:pPr>
            <w:r>
              <w:rPr>
                <w:rFonts w:hint="eastAsia" w:cs="宋体"/>
                <w:kern w:val="0"/>
                <w:sz w:val="24"/>
              </w:rPr>
              <w:t>/</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1.4.5</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公路工程施工资质企业名录</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highlight w:val="none"/>
              </w:rPr>
            </w:pPr>
            <w:r>
              <w:rPr>
                <w:rFonts w:hint="eastAsia"/>
                <w:sz w:val="24"/>
                <w:highlight w:val="none"/>
              </w:rPr>
              <w:t>□采用</w:t>
            </w:r>
          </w:p>
          <w:p>
            <w:pPr>
              <w:topLinePunct/>
              <w:spacing w:line="400" w:lineRule="atLeast"/>
              <w:ind w:firstLine="0" w:firstLineChars="0"/>
              <w:rPr>
                <w:sz w:val="24"/>
              </w:rPr>
            </w:pPr>
            <w:r>
              <w:rPr>
                <w:rFonts w:hint="eastAsia"/>
                <w:sz w:val="24"/>
                <w:highlight w:val="none"/>
              </w:rPr>
              <w:sym w:font="Wingdings 2" w:char="0052"/>
            </w:r>
            <w:r>
              <w:rPr>
                <w:rFonts w:hint="eastAsia"/>
                <w:sz w:val="24"/>
                <w:highlight w:val="none"/>
              </w:rPr>
              <w:t>不采用</w:t>
            </w:r>
          </w:p>
        </w:tc>
      </w:tr>
      <w:tr>
        <w:tblPrEx>
          <w:tblCellMar>
            <w:top w:w="0" w:type="dxa"/>
            <w:left w:w="108" w:type="dxa"/>
            <w:bottom w:w="0" w:type="dxa"/>
            <w:right w:w="108" w:type="dxa"/>
          </w:tblCellMar>
        </w:tblPrEx>
        <w:trPr>
          <w:trHeight w:val="398" w:hRule="atLeast"/>
        </w:trPr>
        <w:tc>
          <w:tcPr>
            <w:tcW w:w="995" w:type="dxa"/>
            <w:vMerge w:val="restart"/>
            <w:tcBorders>
              <w:top w:val="single" w:color="auto" w:sz="4" w:space="0"/>
              <w:left w:val="single" w:color="auto" w:sz="4" w:space="0"/>
              <w:right w:val="single" w:color="auto" w:sz="4" w:space="0"/>
            </w:tcBorders>
            <w:vAlign w:val="center"/>
          </w:tcPr>
          <w:p>
            <w:pPr>
              <w:spacing w:line="400" w:lineRule="atLeast"/>
              <w:ind w:firstLine="0" w:firstLineChars="0"/>
              <w:jc w:val="center"/>
              <w:rPr>
                <w:sz w:val="24"/>
              </w:rPr>
            </w:pPr>
            <w:r>
              <w:rPr>
                <w:sz w:val="24"/>
              </w:rPr>
              <w:t>1.10.2</w:t>
            </w:r>
          </w:p>
        </w:tc>
        <w:tc>
          <w:tcPr>
            <w:tcW w:w="2556" w:type="dxa"/>
            <w:vMerge w:val="restart"/>
            <w:tcBorders>
              <w:top w:val="single" w:color="auto" w:sz="4" w:space="0"/>
              <w:left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投标人在投标预备会前提出问题</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u w:val="single"/>
              </w:rPr>
            </w:pPr>
            <w:r>
              <w:rPr>
                <w:rFonts w:hint="eastAsia"/>
                <w:sz w:val="24"/>
              </w:rPr>
              <w:t>时间：</w:t>
            </w:r>
            <w:r>
              <w:rPr>
                <w:rFonts w:hint="eastAsia"/>
                <w:sz w:val="24"/>
                <w:u w:val="single"/>
              </w:rPr>
              <w:t xml:space="preserve">   /    </w:t>
            </w:r>
          </w:p>
        </w:tc>
      </w:tr>
      <w:tr>
        <w:tblPrEx>
          <w:tblCellMar>
            <w:top w:w="0" w:type="dxa"/>
            <w:left w:w="108" w:type="dxa"/>
            <w:bottom w:w="0" w:type="dxa"/>
            <w:right w:w="108" w:type="dxa"/>
          </w:tblCellMar>
        </w:tblPrEx>
        <w:trPr>
          <w:trHeight w:val="397" w:hRule="atLeast"/>
        </w:trPr>
        <w:tc>
          <w:tcPr>
            <w:tcW w:w="995" w:type="dxa"/>
            <w:vMerge w:val="continue"/>
            <w:tcBorders>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p>
        </w:tc>
        <w:tc>
          <w:tcPr>
            <w:tcW w:w="2556" w:type="dxa"/>
            <w:vMerge w:val="continue"/>
            <w:tcBorders>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形式：</w:t>
            </w:r>
            <w:r>
              <w:rPr>
                <w:rFonts w:hint="eastAsia" w:eastAsia="楷体"/>
                <w:bCs/>
                <w:snapToGrid w:val="0"/>
                <w:kern w:val="0"/>
                <w:sz w:val="24"/>
                <w:u w:val="single"/>
              </w:rPr>
              <w:t xml:space="preserve">   /    </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1.11</w:t>
            </w:r>
            <w:r>
              <w:rPr>
                <w:rFonts w:hint="eastAsia"/>
                <w:sz w:val="24"/>
              </w:rPr>
              <w:t>.</w:t>
            </w:r>
            <w:r>
              <w:rPr>
                <w:sz w:val="24"/>
              </w:rPr>
              <w:t>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分包</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sym w:font="Wingdings 2" w:char="0052"/>
            </w:r>
            <w:r>
              <w:rPr>
                <w:rFonts w:hint="eastAsia"/>
                <w:sz w:val="24"/>
              </w:rPr>
              <w:t>不允许。</w:t>
            </w:r>
          </w:p>
          <w:p>
            <w:pPr>
              <w:spacing w:line="400" w:lineRule="atLeast"/>
              <w:ind w:firstLine="0" w:firstLineChars="0"/>
              <w:rPr>
                <w:sz w:val="24"/>
              </w:rPr>
            </w:pPr>
            <w:r>
              <w:rPr>
                <w:rFonts w:hint="eastAsia"/>
                <w:sz w:val="24"/>
              </w:rPr>
              <w:t>□允许，允许分包的专项工程（或不允许分包的专项工程）：/；</w:t>
            </w:r>
          </w:p>
          <w:p>
            <w:pPr>
              <w:ind w:firstLine="0" w:firstLineChars="0"/>
              <w:rPr>
                <w:sz w:val="24"/>
              </w:rPr>
            </w:pPr>
            <w:r>
              <w:rPr>
                <w:rFonts w:hint="eastAsia"/>
                <w:sz w:val="24"/>
              </w:rPr>
              <w:t>对分包人的资格要求：/；</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2.1</w:t>
            </w:r>
            <w:r>
              <w:rPr>
                <w:rFonts w:hint="eastAsia"/>
                <w:sz w:val="24"/>
              </w:rPr>
              <w:t>（10）</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构成招标文件的其他材料</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施工图纸、工程量清单、补疑、最高投标限价等</w:t>
            </w:r>
          </w:p>
        </w:tc>
      </w:tr>
      <w:tr>
        <w:tblPrEx>
          <w:tblCellMar>
            <w:top w:w="0" w:type="dxa"/>
            <w:left w:w="108" w:type="dxa"/>
            <w:bottom w:w="0" w:type="dxa"/>
            <w:right w:w="108" w:type="dxa"/>
          </w:tblCellMar>
        </w:tblPrEx>
        <w:trPr>
          <w:trHeight w:val="295" w:hRule="atLeast"/>
        </w:trPr>
        <w:tc>
          <w:tcPr>
            <w:tcW w:w="995" w:type="dxa"/>
            <w:vMerge w:val="restart"/>
            <w:tcBorders>
              <w:top w:val="single" w:color="auto" w:sz="4" w:space="0"/>
              <w:left w:val="single" w:color="auto" w:sz="4" w:space="0"/>
              <w:right w:val="single" w:color="auto" w:sz="4" w:space="0"/>
            </w:tcBorders>
            <w:vAlign w:val="center"/>
          </w:tcPr>
          <w:p>
            <w:pPr>
              <w:spacing w:line="400" w:lineRule="atLeast"/>
              <w:ind w:firstLine="0" w:firstLineChars="0"/>
              <w:jc w:val="center"/>
              <w:rPr>
                <w:sz w:val="24"/>
              </w:rPr>
            </w:pPr>
            <w:r>
              <w:rPr>
                <w:sz w:val="24"/>
              </w:rPr>
              <w:t>2.2.1</w:t>
            </w:r>
          </w:p>
        </w:tc>
        <w:tc>
          <w:tcPr>
            <w:tcW w:w="2556" w:type="dxa"/>
            <w:vMerge w:val="restart"/>
            <w:tcBorders>
              <w:top w:val="single" w:color="auto" w:sz="4" w:space="0"/>
              <w:left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投标人要求澄清招标文件</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日17时30分前</w:t>
            </w:r>
            <w:r>
              <w:rPr>
                <w:rFonts w:hint="eastAsia"/>
                <w:sz w:val="24"/>
              </w:rPr>
              <w:t>。</w:t>
            </w:r>
          </w:p>
        </w:tc>
      </w:tr>
      <w:tr>
        <w:tblPrEx>
          <w:tblCellMar>
            <w:top w:w="0" w:type="dxa"/>
            <w:left w:w="108" w:type="dxa"/>
            <w:bottom w:w="0" w:type="dxa"/>
            <w:right w:w="108" w:type="dxa"/>
          </w:tblCellMar>
        </w:tblPrEx>
        <w:trPr>
          <w:trHeight w:val="202" w:hRule="atLeast"/>
        </w:trPr>
        <w:tc>
          <w:tcPr>
            <w:tcW w:w="995" w:type="dxa"/>
            <w:vMerge w:val="continue"/>
            <w:tcBorders>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p>
        </w:tc>
        <w:tc>
          <w:tcPr>
            <w:tcW w:w="2556" w:type="dxa"/>
            <w:vMerge w:val="continue"/>
            <w:tcBorders>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形式：</w:t>
            </w:r>
            <w:r>
              <w:rPr>
                <w:bCs/>
                <w:sz w:val="24"/>
              </w:rPr>
              <w:t>通过电子交易系统在线</w:t>
            </w:r>
            <w:r>
              <w:rPr>
                <w:rFonts w:hint="eastAsia"/>
                <w:bCs/>
                <w:sz w:val="24"/>
              </w:rPr>
              <w:t>提出</w:t>
            </w:r>
            <w:r>
              <w:rPr>
                <w:rFonts w:hint="eastAsia"/>
                <w:sz w:val="24"/>
              </w:rPr>
              <w:t>。</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2.2.2</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招标文件澄清发出的形式</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通过电子服务系统发布。</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2.3.1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招标文件修改发出的形式</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通过电子服务系统发出</w:t>
            </w:r>
          </w:p>
        </w:tc>
      </w:tr>
      <w:tr>
        <w:tblPrEx>
          <w:tblCellMar>
            <w:top w:w="0" w:type="dxa"/>
            <w:left w:w="108" w:type="dxa"/>
            <w:bottom w:w="0" w:type="dxa"/>
            <w:right w:w="108" w:type="dxa"/>
          </w:tblCellMar>
        </w:tblPrEx>
        <w:tc>
          <w:tcPr>
            <w:tcW w:w="995" w:type="dxa"/>
            <w:tcBorders>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3.2.</w:t>
            </w:r>
            <w:r>
              <w:rPr>
                <w:rFonts w:hint="eastAsia"/>
                <w:sz w:val="24"/>
              </w:rPr>
              <w:t>1</w:t>
            </w:r>
          </w:p>
        </w:tc>
        <w:tc>
          <w:tcPr>
            <w:tcW w:w="2556" w:type="dxa"/>
            <w:tcBorders>
              <w:left w:val="single" w:color="auto" w:sz="4" w:space="0"/>
              <w:bottom w:val="single" w:color="auto" w:sz="4" w:space="0"/>
              <w:right w:val="single" w:color="auto" w:sz="4" w:space="0"/>
            </w:tcBorders>
            <w:vAlign w:val="center"/>
          </w:tcPr>
          <w:p>
            <w:pPr>
              <w:adjustRightInd w:val="0"/>
              <w:snapToGrid w:val="0"/>
              <w:spacing w:line="560" w:lineRule="exact"/>
              <w:ind w:firstLine="0" w:firstLineChars="0"/>
              <w:jc w:val="center"/>
              <w:rPr>
                <w:rFonts w:ascii="宋体" w:hAnsi="宋体"/>
                <w:sz w:val="24"/>
              </w:rPr>
            </w:pPr>
            <w:r>
              <w:rPr>
                <w:rFonts w:hint="eastAsia" w:ascii="宋体" w:hAnsi="宋体"/>
                <w:sz w:val="24"/>
              </w:rPr>
              <w:t>增值税税金的相关要求</w:t>
            </w:r>
          </w:p>
        </w:tc>
        <w:tc>
          <w:tcPr>
            <w:tcW w:w="5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0" w:firstLineChars="0"/>
              <w:rPr>
                <w:rFonts w:ascii="宋体" w:hAnsi="宋体"/>
                <w:b/>
                <w:bCs/>
                <w:snapToGrid w:val="0"/>
                <w:kern w:val="0"/>
                <w:sz w:val="24"/>
              </w:rPr>
            </w:pPr>
            <w:r>
              <w:rPr>
                <w:rFonts w:hint="eastAsia" w:ascii="宋体" w:hAnsi="宋体"/>
                <w:b/>
                <w:bCs/>
                <w:snapToGrid w:val="0"/>
                <w:kern w:val="0"/>
                <w:sz w:val="24"/>
              </w:rPr>
              <w:t>（</w:t>
            </w:r>
            <w:r>
              <w:rPr>
                <w:rFonts w:ascii="宋体" w:hAnsi="宋体"/>
                <w:b/>
                <w:bCs/>
                <w:snapToGrid w:val="0"/>
                <w:kern w:val="0"/>
                <w:sz w:val="24"/>
              </w:rPr>
              <w:t>1</w:t>
            </w:r>
            <w:r>
              <w:rPr>
                <w:rFonts w:hint="eastAsia" w:ascii="宋体" w:hAnsi="宋体"/>
                <w:b/>
                <w:bCs/>
                <w:snapToGrid w:val="0"/>
                <w:kern w:val="0"/>
                <w:sz w:val="24"/>
              </w:rPr>
              <w:t>）计税方法</w:t>
            </w:r>
          </w:p>
          <w:p>
            <w:pPr>
              <w:adjustRightInd w:val="0"/>
              <w:snapToGrid w:val="0"/>
              <w:spacing w:line="560" w:lineRule="exact"/>
              <w:ind w:firstLine="480"/>
              <w:rPr>
                <w:rFonts w:ascii="宋体" w:hAnsi="宋体"/>
                <w:bCs/>
                <w:snapToGrid w:val="0"/>
                <w:kern w:val="0"/>
                <w:sz w:val="24"/>
              </w:rPr>
            </w:pPr>
            <w:r>
              <w:rPr>
                <w:rFonts w:hint="eastAsia" w:ascii="MS Gothic" w:hAnsi="MS Gothic" w:eastAsia="MS Gothic" w:cs="MS Gothic"/>
                <w:bCs/>
                <w:snapToGrid w:val="0"/>
                <w:kern w:val="0"/>
                <w:sz w:val="24"/>
              </w:rPr>
              <w:t>☑</w:t>
            </w:r>
            <w:r>
              <w:rPr>
                <w:rFonts w:hint="eastAsia" w:ascii="宋体" w:hAnsi="宋体"/>
                <w:bCs/>
                <w:snapToGrid w:val="0"/>
                <w:kern w:val="0"/>
                <w:sz w:val="24"/>
              </w:rPr>
              <w:t>一般计税方法；</w:t>
            </w:r>
          </w:p>
          <w:p>
            <w:pPr>
              <w:adjustRightInd w:val="0"/>
              <w:snapToGrid w:val="0"/>
              <w:spacing w:line="560" w:lineRule="exact"/>
              <w:ind w:firstLine="480"/>
              <w:rPr>
                <w:rFonts w:ascii="宋体" w:hAnsi="宋体"/>
                <w:bCs/>
                <w:snapToGrid w:val="0"/>
                <w:kern w:val="0"/>
                <w:sz w:val="24"/>
              </w:rPr>
            </w:pPr>
            <w:r>
              <w:rPr>
                <w:rFonts w:hint="eastAsia" w:ascii="宋体" w:hAnsi="宋体"/>
                <w:bCs/>
                <w:snapToGrid w:val="0"/>
                <w:kern w:val="0"/>
                <w:sz w:val="24"/>
              </w:rPr>
              <w:t>□简易计算方法；</w:t>
            </w:r>
          </w:p>
          <w:p>
            <w:pPr>
              <w:adjustRightInd w:val="0"/>
              <w:snapToGrid w:val="0"/>
              <w:spacing w:line="560" w:lineRule="exact"/>
              <w:ind w:firstLine="0" w:firstLineChars="0"/>
              <w:rPr>
                <w:rFonts w:ascii="宋体" w:hAnsi="宋体"/>
                <w:bCs/>
                <w:snapToGrid w:val="0"/>
                <w:kern w:val="0"/>
                <w:sz w:val="24"/>
              </w:rPr>
            </w:pPr>
            <w:r>
              <w:rPr>
                <w:rFonts w:hint="eastAsia" w:ascii="宋体" w:hAnsi="宋体"/>
                <w:b/>
                <w:bCs/>
                <w:snapToGrid w:val="0"/>
                <w:kern w:val="0"/>
                <w:sz w:val="24"/>
              </w:rPr>
              <w:t>（</w:t>
            </w:r>
            <w:r>
              <w:rPr>
                <w:rFonts w:ascii="宋体" w:hAnsi="宋体"/>
                <w:b/>
                <w:bCs/>
                <w:snapToGrid w:val="0"/>
                <w:kern w:val="0"/>
                <w:sz w:val="24"/>
              </w:rPr>
              <w:t>2</w:t>
            </w:r>
            <w:r>
              <w:rPr>
                <w:rFonts w:hint="eastAsia" w:ascii="宋体" w:hAnsi="宋体"/>
                <w:b/>
                <w:bCs/>
                <w:snapToGrid w:val="0"/>
                <w:kern w:val="0"/>
                <w:sz w:val="24"/>
              </w:rPr>
              <w:t>）发票类型：</w:t>
            </w:r>
          </w:p>
          <w:p>
            <w:pPr>
              <w:adjustRightInd w:val="0"/>
              <w:snapToGrid w:val="0"/>
              <w:spacing w:line="560" w:lineRule="exact"/>
              <w:ind w:firstLine="480"/>
              <w:rPr>
                <w:rFonts w:ascii="宋体" w:hAnsi="宋体"/>
                <w:bCs/>
                <w:snapToGrid w:val="0"/>
                <w:kern w:val="0"/>
                <w:sz w:val="24"/>
              </w:rPr>
            </w:pPr>
            <w:r>
              <w:rPr>
                <w:rFonts w:hint="eastAsia" w:ascii="MS Gothic" w:hAnsi="MS Gothic" w:eastAsia="MS Gothic" w:cs="MS Gothic"/>
                <w:bCs/>
                <w:snapToGrid w:val="0"/>
                <w:kern w:val="0"/>
                <w:sz w:val="24"/>
              </w:rPr>
              <w:t>☑</w:t>
            </w:r>
            <w:r>
              <w:rPr>
                <w:rFonts w:hint="eastAsia" w:ascii="宋体" w:hAnsi="宋体"/>
                <w:bCs/>
                <w:snapToGrid w:val="0"/>
                <w:kern w:val="0"/>
                <w:sz w:val="24"/>
              </w:rPr>
              <w:t>增值税专用发票；</w:t>
            </w:r>
          </w:p>
          <w:p>
            <w:pPr>
              <w:adjustRightInd w:val="0"/>
              <w:snapToGrid w:val="0"/>
              <w:spacing w:line="560" w:lineRule="exact"/>
              <w:ind w:firstLine="480"/>
              <w:rPr>
                <w:rFonts w:ascii="宋体" w:hAnsi="宋体"/>
                <w:bCs/>
                <w:snapToGrid w:val="0"/>
                <w:kern w:val="0"/>
                <w:sz w:val="24"/>
              </w:rPr>
            </w:pPr>
            <w:r>
              <w:rPr>
                <w:rFonts w:hint="eastAsia" w:ascii="宋体" w:hAnsi="宋体"/>
                <w:bCs/>
                <w:snapToGrid w:val="0"/>
                <w:kern w:val="0"/>
                <w:sz w:val="24"/>
              </w:rPr>
              <w:t>□增值税普通发票；</w:t>
            </w:r>
          </w:p>
          <w:p>
            <w:pPr>
              <w:adjustRightInd w:val="0"/>
              <w:snapToGrid w:val="0"/>
              <w:spacing w:line="560" w:lineRule="exact"/>
              <w:ind w:firstLine="0" w:firstLineChars="0"/>
              <w:rPr>
                <w:rFonts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3</w:t>
            </w:r>
            <w:r>
              <w:rPr>
                <w:rFonts w:hint="eastAsia" w:ascii="宋体" w:hAnsi="宋体"/>
                <w:bCs/>
                <w:snapToGrid w:val="0"/>
                <w:kern w:val="0"/>
                <w:sz w:val="24"/>
              </w:rPr>
              <w:t>）增值税税率按照国家有关规定执行。</w:t>
            </w:r>
          </w:p>
          <w:p>
            <w:pPr>
              <w:adjustRightInd w:val="0"/>
              <w:snapToGrid w:val="0"/>
              <w:spacing w:line="560" w:lineRule="exact"/>
              <w:ind w:firstLine="0" w:firstLineChars="0"/>
              <w:rPr>
                <w:rFonts w:ascii="宋体" w:hAnsi="宋体"/>
                <w:bCs/>
                <w:snapToGrid w:val="0"/>
                <w:kern w:val="0"/>
                <w:sz w:val="24"/>
              </w:rPr>
            </w:pPr>
            <w:r>
              <w:rPr>
                <w:rFonts w:hint="eastAsia" w:ascii="宋体" w:hAnsi="宋体"/>
                <w:bCs/>
                <w:snapToGrid w:val="0"/>
                <w:kern w:val="0"/>
                <w:sz w:val="24"/>
              </w:rPr>
              <w:t>（</w:t>
            </w:r>
            <w:r>
              <w:rPr>
                <w:rFonts w:ascii="宋体" w:hAnsi="宋体"/>
                <w:bCs/>
                <w:snapToGrid w:val="0"/>
                <w:kern w:val="0"/>
                <w:sz w:val="24"/>
              </w:rPr>
              <w:t>4</w:t>
            </w:r>
            <w:r>
              <w:rPr>
                <w:rFonts w:hint="eastAsia" w:ascii="宋体" w:hAnsi="宋体"/>
                <w:bCs/>
                <w:snapToGrid w:val="0"/>
                <w:kern w:val="0"/>
                <w:sz w:val="24"/>
              </w:rPr>
              <w:t>）注册地不在合肥市行政区域范围（含四县一市）的中标人，应按照《纳税人跨县（市、区）提供建筑服务增值税征收管理暂行办法》（国家税务总局公告</w:t>
            </w:r>
            <w:r>
              <w:rPr>
                <w:rFonts w:ascii="宋体" w:hAnsi="宋体"/>
                <w:bCs/>
                <w:snapToGrid w:val="0"/>
                <w:kern w:val="0"/>
                <w:sz w:val="24"/>
              </w:rPr>
              <w:t>2016</w:t>
            </w:r>
            <w:r>
              <w:rPr>
                <w:rFonts w:hint="eastAsia" w:ascii="宋体" w:hAnsi="宋体"/>
                <w:bCs/>
                <w:snapToGrid w:val="0"/>
                <w:kern w:val="0"/>
                <w:sz w:val="24"/>
              </w:rPr>
              <w:t>年第</w:t>
            </w:r>
            <w:r>
              <w:rPr>
                <w:rFonts w:ascii="宋体" w:hAnsi="宋体"/>
                <w:bCs/>
                <w:snapToGrid w:val="0"/>
                <w:kern w:val="0"/>
                <w:sz w:val="24"/>
              </w:rPr>
              <w:t>17</w:t>
            </w:r>
            <w:r>
              <w:rPr>
                <w:rFonts w:hint="eastAsia" w:ascii="宋体" w:hAnsi="宋体"/>
                <w:bCs/>
                <w:snapToGrid w:val="0"/>
                <w:kern w:val="0"/>
                <w:sz w:val="24"/>
              </w:rPr>
              <w:t>号）规定，在建筑服务发生地及时足额预缴增值税。</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3.2.</w:t>
            </w:r>
            <w:r>
              <w:rPr>
                <w:rFonts w:hint="eastAsia"/>
                <w:sz w:val="24"/>
              </w:rPr>
              <w:t>2</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工程量清单的填写方式</w:t>
            </w:r>
          </w:p>
        </w:tc>
        <w:tc>
          <w:tcPr>
            <w:tcW w:w="5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0" w:firstLineChars="0"/>
              <w:rPr>
                <w:rFonts w:ascii="宋体" w:hAnsi="宋体"/>
                <w:bCs/>
                <w:snapToGrid w:val="0"/>
                <w:kern w:val="0"/>
                <w:sz w:val="24"/>
              </w:rPr>
            </w:pPr>
            <w:r>
              <w:rPr>
                <w:rFonts w:hint="eastAsia"/>
                <w:sz w:val="24"/>
              </w:rPr>
              <w:t>□</w:t>
            </w:r>
            <w:r>
              <w:rPr>
                <w:rFonts w:hint="eastAsia" w:ascii="宋体" w:hAnsi="宋体"/>
                <w:bCs/>
                <w:snapToGrid w:val="0"/>
                <w:kern w:val="0"/>
                <w:sz w:val="24"/>
              </w:rPr>
              <w:t>投标人按照招标人提供的工程量固化清单电子文件填写工程量清单</w:t>
            </w:r>
          </w:p>
          <w:p>
            <w:pPr>
              <w:adjustRightInd w:val="0"/>
              <w:snapToGrid w:val="0"/>
              <w:spacing w:line="560" w:lineRule="exact"/>
              <w:ind w:firstLine="0" w:firstLineChars="0"/>
              <w:rPr>
                <w:sz w:val="24"/>
              </w:rPr>
            </w:pPr>
            <w:r>
              <w:rPr>
                <w:rFonts w:hint="eastAsia" w:ascii="MS Mincho" w:hAnsi="MS Mincho" w:eastAsia="MS Mincho" w:cs="MS Mincho"/>
                <w:bCs/>
                <w:snapToGrid w:val="0"/>
                <w:kern w:val="0"/>
                <w:sz w:val="24"/>
              </w:rPr>
              <w:t>☑</w:t>
            </w:r>
            <w:r>
              <w:rPr>
                <w:rFonts w:hint="eastAsia" w:ascii="宋体" w:hAnsi="宋体"/>
                <w:bCs/>
                <w:snapToGrid w:val="0"/>
                <w:kern w:val="0"/>
                <w:sz w:val="24"/>
              </w:rPr>
              <w:t>投标人按照招标人提供的电子工程量清单填写工程量清单。</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3.2.3</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报价方式</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□单价</w:t>
            </w:r>
          </w:p>
          <w:p>
            <w:pPr>
              <w:spacing w:line="400" w:lineRule="atLeast"/>
              <w:ind w:firstLine="0" w:firstLineChars="0"/>
              <w:rPr>
                <w:sz w:val="24"/>
              </w:rPr>
            </w:pPr>
            <w:r>
              <w:rPr>
                <w:rFonts w:hint="eastAsia" w:ascii="MS Mincho" w:hAnsi="MS Mincho" w:eastAsia="MS Mincho" w:cs="MS Mincho"/>
                <w:sz w:val="24"/>
              </w:rPr>
              <w:t>☑</w:t>
            </w:r>
            <w:r>
              <w:rPr>
                <w:rFonts w:hint="eastAsia"/>
                <w:sz w:val="24"/>
              </w:rPr>
              <w:t>总价</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3.2.6</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是否接受调价函</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□是</w:t>
            </w:r>
          </w:p>
          <w:p>
            <w:pPr>
              <w:spacing w:line="400" w:lineRule="atLeast"/>
              <w:ind w:firstLine="0" w:firstLineChars="0"/>
              <w:rPr>
                <w:sz w:val="24"/>
              </w:rPr>
            </w:pPr>
            <w:r>
              <w:rPr>
                <w:rFonts w:hint="eastAsia" w:ascii="MS Mincho" w:hAnsi="MS Mincho" w:eastAsia="MS Mincho" w:cs="MS Mincho"/>
                <w:sz w:val="24"/>
              </w:rPr>
              <w:t>☑</w:t>
            </w:r>
            <w:r>
              <w:rPr>
                <w:rFonts w:hint="eastAsia"/>
                <w:sz w:val="24"/>
              </w:rPr>
              <w:t>否</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3.2.8</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最高投标限价</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□无</w:t>
            </w:r>
          </w:p>
          <w:p>
            <w:pPr>
              <w:spacing w:line="400" w:lineRule="atLeast"/>
              <w:ind w:firstLine="0" w:firstLineChars="0"/>
              <w:rPr>
                <w:sz w:val="24"/>
              </w:rPr>
            </w:pPr>
            <w:r>
              <w:rPr>
                <w:rFonts w:hint="eastAsia" w:ascii="MS Mincho" w:hAnsi="MS Mincho" w:eastAsia="MS Mincho" w:cs="MS Mincho"/>
                <w:sz w:val="24"/>
              </w:rPr>
              <w:t>☑</w:t>
            </w:r>
            <w:r>
              <w:rPr>
                <w:rFonts w:hint="eastAsia"/>
                <w:sz w:val="24"/>
              </w:rPr>
              <w:t>有，</w:t>
            </w:r>
            <w:r>
              <w:rPr>
                <w:rFonts w:hint="eastAsia"/>
                <w:bCs/>
                <w:snapToGrid w:val="0"/>
                <w:kern w:val="0"/>
                <w:sz w:val="24"/>
              </w:rPr>
              <w:t>最高投标限价</w:t>
            </w:r>
            <w:r>
              <w:rPr>
                <w:rFonts w:hint="eastAsia"/>
                <w:bCs/>
                <w:snapToGrid w:val="0"/>
                <w:kern w:val="0"/>
                <w:sz w:val="24"/>
                <w:u w:val="single"/>
              </w:rPr>
              <w:t>11951954.43</w:t>
            </w:r>
            <w:r>
              <w:rPr>
                <w:rFonts w:hint="eastAsia"/>
                <w:bCs/>
                <w:snapToGrid w:val="0"/>
                <w:kern w:val="0"/>
                <w:sz w:val="24"/>
                <w:highlight w:val="none"/>
              </w:rPr>
              <w:t>元（其中含暂列金额</w:t>
            </w:r>
            <w:r>
              <w:rPr>
                <w:rFonts w:hint="eastAsia"/>
                <w:bCs/>
                <w:snapToGrid w:val="0"/>
                <w:kern w:val="0"/>
                <w:sz w:val="24"/>
                <w:highlight w:val="none"/>
                <w:u w:val="single"/>
              </w:rPr>
              <w:t>0</w:t>
            </w:r>
            <w:r>
              <w:rPr>
                <w:rFonts w:hint="eastAsia"/>
                <w:bCs/>
                <w:snapToGrid w:val="0"/>
                <w:kern w:val="0"/>
                <w:sz w:val="24"/>
                <w:highlight w:val="none"/>
              </w:rPr>
              <w:t>元）；</w:t>
            </w:r>
          </w:p>
          <w:p>
            <w:pPr>
              <w:spacing w:line="400" w:lineRule="atLeast"/>
              <w:ind w:firstLine="0" w:firstLineChars="0"/>
              <w:rPr>
                <w:sz w:val="24"/>
              </w:rPr>
            </w:pPr>
            <w:r>
              <w:rPr>
                <w:rFonts w:hint="eastAsia" w:ascii="MS Mincho" w:hAnsi="MS Mincho" w:eastAsia="MS Mincho" w:cs="MS Mincho"/>
                <w:sz w:val="24"/>
              </w:rPr>
              <w:t>☑</w:t>
            </w:r>
            <w:r>
              <w:rPr>
                <w:rFonts w:hint="eastAsia"/>
                <w:sz w:val="24"/>
              </w:rPr>
              <w:t>有，通过电子服务系统发布；</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3.2.9</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投标报价的其他要求</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3.3.1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投标有效期</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自投标人递交投标文件截止之日起计算</w:t>
            </w:r>
            <w:r>
              <w:rPr>
                <w:rFonts w:hint="eastAsia"/>
                <w:sz w:val="24"/>
                <w:u w:val="single"/>
              </w:rPr>
              <w:t>120</w:t>
            </w:r>
            <w:r>
              <w:rPr>
                <w:rFonts w:hint="eastAsia"/>
                <w:sz w:val="24"/>
              </w:rPr>
              <w:t>日</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3.4.1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投标保证金</w:t>
            </w:r>
          </w:p>
        </w:tc>
        <w:tc>
          <w:tcPr>
            <w:tcW w:w="5332" w:type="dxa"/>
            <w:tcBorders>
              <w:top w:val="single" w:color="auto" w:sz="4" w:space="0"/>
              <w:left w:val="single" w:color="auto" w:sz="4" w:space="0"/>
              <w:bottom w:val="single" w:color="auto" w:sz="4" w:space="0"/>
              <w:right w:val="single" w:color="auto" w:sz="4" w:space="0"/>
            </w:tcBorders>
            <w:vAlign w:val="center"/>
          </w:tcPr>
          <w:p>
            <w:pPr>
              <w:widowControl/>
              <w:snapToGrid w:val="0"/>
              <w:ind w:left="0" w:leftChars="0" w:firstLine="0" w:firstLineChars="0"/>
              <w:jc w:val="left"/>
              <w:rPr>
                <w:rFonts w:ascii="宋体" w:hAnsi="宋体" w:cs="宋体"/>
                <w:bCs/>
                <w:kern w:val="0"/>
                <w:sz w:val="24"/>
                <w:szCs w:val="24"/>
              </w:rPr>
            </w:pPr>
            <w:r>
              <w:rPr>
                <w:rFonts w:hint="eastAsia" w:ascii="宋体" w:hAnsi="宋体" w:cs="宋体"/>
                <w:bCs/>
                <w:kern w:val="0"/>
                <w:sz w:val="24"/>
                <w:szCs w:val="24"/>
              </w:rPr>
              <w:t>是否要求投标人递交投标保证金：</w:t>
            </w:r>
          </w:p>
          <w:p>
            <w:pPr>
              <w:widowControl/>
              <w:snapToGrid w:val="0"/>
              <w:ind w:left="0" w:leftChars="0" w:firstLine="0" w:firstLineChars="0"/>
              <w:jc w:val="left"/>
              <w:rPr>
                <w:rFonts w:ascii="宋体" w:hAnsi="宋体" w:cs="宋体"/>
                <w:bCs/>
                <w:kern w:val="0"/>
                <w:sz w:val="24"/>
                <w:szCs w:val="24"/>
              </w:rPr>
            </w:pPr>
            <w:r>
              <w:rPr>
                <w:rFonts w:hint="eastAsia" w:ascii="宋体" w:hAnsi="宋体" w:cs="宋体"/>
                <w:bCs/>
                <w:kern w:val="0"/>
                <w:sz w:val="24"/>
                <w:szCs w:val="24"/>
              </w:rPr>
              <w:t>□不要求</w:t>
            </w:r>
          </w:p>
          <w:p>
            <w:pPr>
              <w:widowControl/>
              <w:snapToGrid w:val="0"/>
              <w:ind w:left="0" w:leftChars="0" w:firstLine="0" w:firstLineChars="0"/>
              <w:jc w:val="left"/>
              <w:rPr>
                <w:rFonts w:hint="eastAsia" w:ascii="宋体" w:hAnsi="宋体" w:cs="宋体"/>
                <w:bCs/>
                <w:kern w:val="0"/>
                <w:sz w:val="24"/>
                <w:szCs w:val="24"/>
              </w:rPr>
            </w:pPr>
            <w:r>
              <w:rPr>
                <w:rFonts w:hint="eastAsia" w:ascii="MS Mincho" w:hAnsi="MS Mincho" w:eastAsia="宋体" w:cs="MS Mincho"/>
                <w:sz w:val="24"/>
                <w:szCs w:val="24"/>
                <w:lang w:eastAsia="zh-CN"/>
              </w:rPr>
              <w:t>☑</w:t>
            </w:r>
            <w:r>
              <w:rPr>
                <w:rFonts w:hint="eastAsia" w:ascii="宋体" w:hAnsi="宋体" w:cs="宋体"/>
                <w:bCs/>
                <w:kern w:val="0"/>
                <w:sz w:val="24"/>
                <w:szCs w:val="24"/>
              </w:rPr>
              <w:t>要求，具体如下：</w:t>
            </w:r>
          </w:p>
          <w:p>
            <w:pPr>
              <w:widowControl/>
              <w:snapToGrid w:val="0"/>
              <w:ind w:left="0" w:leftChars="0" w:firstLine="0" w:firstLineChars="0"/>
              <w:jc w:val="left"/>
              <w:rPr>
                <w:rFonts w:ascii="宋体" w:hAnsi="宋体" w:cs="宋体"/>
                <w:bCs/>
                <w:kern w:val="0"/>
                <w:sz w:val="24"/>
                <w:szCs w:val="24"/>
              </w:rPr>
            </w:pPr>
            <w:r>
              <w:rPr>
                <w:rFonts w:hint="eastAsia" w:ascii="宋体" w:hAnsi="宋体" w:cs="宋体"/>
                <w:bCs/>
                <w:kern w:val="0"/>
                <w:sz w:val="24"/>
                <w:szCs w:val="24"/>
              </w:rPr>
              <w:t>（1）投标保证金的金额：人民币</w:t>
            </w:r>
            <w:r>
              <w:rPr>
                <w:rFonts w:hint="eastAsia" w:ascii="宋体" w:hAnsi="宋体" w:cs="宋体"/>
                <w:b/>
                <w:bCs/>
                <w:kern w:val="0"/>
                <w:sz w:val="24"/>
                <w:szCs w:val="24"/>
                <w:highlight w:val="none"/>
              </w:rPr>
              <w:t>15</w:t>
            </w:r>
            <w:r>
              <w:rPr>
                <w:rFonts w:hint="eastAsia" w:ascii="宋体" w:hAnsi="宋体" w:cs="宋体"/>
                <w:bCs/>
                <w:kern w:val="0"/>
                <w:sz w:val="24"/>
                <w:szCs w:val="24"/>
                <w:highlight w:val="none"/>
              </w:rPr>
              <w:t>万元</w:t>
            </w:r>
          </w:p>
          <w:p>
            <w:pPr>
              <w:widowControl/>
              <w:snapToGrid w:val="0"/>
              <w:ind w:left="0" w:leftChars="0" w:firstLine="0" w:firstLineChars="0"/>
              <w:jc w:val="left"/>
              <w:rPr>
                <w:rFonts w:hint="eastAsia" w:ascii="宋体" w:hAnsi="宋体" w:cs="宋体"/>
                <w:bCs/>
                <w:kern w:val="0"/>
                <w:sz w:val="24"/>
                <w:szCs w:val="24"/>
              </w:rPr>
            </w:pPr>
            <w:r>
              <w:rPr>
                <w:rFonts w:hint="eastAsia" w:ascii="宋体" w:hAnsi="宋体" w:cs="宋体"/>
                <w:bCs/>
                <w:kern w:val="0"/>
                <w:sz w:val="24"/>
                <w:szCs w:val="24"/>
              </w:rPr>
              <w:t>（2）投标保证金的形式：</w:t>
            </w:r>
          </w:p>
          <w:p>
            <w:pPr>
              <w:widowControl/>
              <w:snapToGrid w:val="0"/>
              <w:ind w:left="0" w:leftChars="0" w:firstLine="0" w:firstLineChars="0"/>
              <w:jc w:val="left"/>
              <w:rPr>
                <w:rFonts w:hint="eastAsia" w:ascii="宋体" w:hAnsi="宋体" w:cs="宋体"/>
                <w:bCs/>
                <w:kern w:val="0"/>
                <w:sz w:val="24"/>
                <w:szCs w:val="24"/>
              </w:rPr>
            </w:pPr>
            <w:r>
              <w:rPr>
                <w:rFonts w:hint="eastAsia" w:ascii="宋体" w:hAnsi="宋体" w:cs="宋体"/>
                <w:bCs/>
                <w:kern w:val="0"/>
                <w:sz w:val="24"/>
                <w:szCs w:val="24"/>
              </w:rPr>
              <w:sym w:font="Wingdings 2" w:char="0052"/>
            </w:r>
            <w:r>
              <w:rPr>
                <w:rFonts w:hint="eastAsia" w:ascii="宋体" w:hAnsi="宋体" w:cs="宋体"/>
                <w:bCs/>
                <w:kern w:val="0"/>
                <w:sz w:val="24"/>
                <w:szCs w:val="24"/>
              </w:rPr>
              <w:t>电子保函</w:t>
            </w:r>
          </w:p>
          <w:p>
            <w:pPr>
              <w:widowControl/>
              <w:snapToGrid w:val="0"/>
              <w:ind w:left="0" w:leftChars="0" w:firstLine="0" w:firstLineChars="0"/>
              <w:jc w:val="left"/>
              <w:rPr>
                <w:rFonts w:hint="eastAsia" w:ascii="宋体" w:hAnsi="宋体" w:cs="宋体"/>
                <w:bCs/>
                <w:kern w:val="0"/>
                <w:sz w:val="24"/>
                <w:szCs w:val="24"/>
              </w:rPr>
            </w:pPr>
            <w:r>
              <w:rPr>
                <w:rFonts w:hint="eastAsia" w:ascii="宋体" w:hAnsi="宋体" w:cs="宋体"/>
                <w:bCs/>
                <w:kern w:val="0"/>
                <w:sz w:val="24"/>
                <w:szCs w:val="24"/>
              </w:rPr>
              <w:sym w:font="Wingdings 2" w:char="0052"/>
            </w:r>
            <w:r>
              <w:rPr>
                <w:rFonts w:hint="eastAsia" w:ascii="宋体" w:hAnsi="宋体" w:cs="宋体"/>
                <w:bCs/>
                <w:kern w:val="0"/>
                <w:sz w:val="24"/>
                <w:szCs w:val="24"/>
              </w:rPr>
              <w:t>现金（银行转账、银行电汇）</w:t>
            </w:r>
          </w:p>
          <w:p>
            <w:pPr>
              <w:widowControl/>
              <w:snapToGrid w:val="0"/>
              <w:ind w:left="0" w:leftChars="0" w:firstLine="0" w:firstLineChars="0"/>
              <w:jc w:val="left"/>
              <w:rPr>
                <w:rFonts w:hint="eastAsia" w:ascii="宋体" w:hAnsi="宋体" w:cs="宋体"/>
                <w:bCs/>
                <w:kern w:val="0"/>
                <w:sz w:val="24"/>
                <w:szCs w:val="24"/>
              </w:rPr>
            </w:pPr>
            <w:r>
              <w:rPr>
                <w:rFonts w:hint="eastAsia" w:ascii="宋体" w:hAnsi="宋体" w:cs="宋体"/>
                <w:bCs/>
                <w:kern w:val="0"/>
                <w:sz w:val="24"/>
                <w:szCs w:val="24"/>
              </w:rPr>
              <w:sym w:font="Wingdings 2" w:char="0052"/>
            </w:r>
            <w:r>
              <w:rPr>
                <w:rFonts w:hint="eastAsia" w:ascii="宋体" w:hAnsi="宋体" w:cs="宋体"/>
                <w:bCs/>
                <w:kern w:val="0"/>
                <w:sz w:val="24"/>
                <w:szCs w:val="24"/>
              </w:rPr>
              <w:t>纸质保函（纸质银行保函、纸质担保机构担保、纸质保证保险）</w:t>
            </w:r>
          </w:p>
          <w:p>
            <w:pPr>
              <w:widowControl/>
              <w:snapToGrid w:val="0"/>
              <w:ind w:left="0" w:leftChars="0" w:firstLine="0" w:firstLineChars="0"/>
              <w:jc w:val="left"/>
              <w:rPr>
                <w:rFonts w:ascii="宋体" w:hAnsi="宋体" w:cs="宋体"/>
                <w:bCs/>
                <w:kern w:val="0"/>
                <w:sz w:val="24"/>
                <w:szCs w:val="24"/>
              </w:rPr>
            </w:pPr>
            <w:r>
              <w:rPr>
                <w:rFonts w:hint="eastAsia" w:ascii="宋体" w:hAnsi="宋体" w:cs="宋体"/>
                <w:bCs/>
                <w:kern w:val="0"/>
                <w:sz w:val="24"/>
                <w:szCs w:val="24"/>
              </w:rPr>
              <w:t xml:space="preserve">（3）具体要求： </w:t>
            </w:r>
          </w:p>
          <w:p>
            <w:pPr>
              <w:widowControl/>
              <w:snapToGrid w:val="0"/>
              <w:ind w:left="0" w:leftChars="0" w:firstLine="0" w:firstLineChars="0"/>
              <w:jc w:val="left"/>
              <w:rPr>
                <w:rFonts w:hint="eastAsia" w:ascii="宋体" w:hAnsi="宋体" w:cs="宋体"/>
                <w:bCs/>
                <w:kern w:val="0"/>
                <w:sz w:val="24"/>
                <w:szCs w:val="24"/>
              </w:rPr>
            </w:pPr>
            <w:r>
              <w:rPr>
                <w:rFonts w:hint="eastAsia" w:ascii="宋体" w:hAnsi="宋体" w:cs="宋体"/>
                <w:bCs/>
                <w:kern w:val="0"/>
                <w:sz w:val="24"/>
                <w:szCs w:val="24"/>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pPr>
              <w:widowControl/>
              <w:snapToGrid w:val="0"/>
              <w:ind w:left="0" w:leftChars="0" w:firstLine="0" w:firstLineChars="0"/>
              <w:jc w:val="left"/>
              <w:rPr>
                <w:rFonts w:hint="eastAsia" w:ascii="宋体" w:hAnsi="宋体" w:cs="宋体"/>
                <w:bCs/>
                <w:kern w:val="0"/>
                <w:sz w:val="24"/>
                <w:szCs w:val="24"/>
              </w:rPr>
            </w:pPr>
            <w:r>
              <w:rPr>
                <w:rFonts w:hint="eastAsia" w:ascii="宋体" w:hAnsi="宋体" w:cs="宋体"/>
                <w:bCs/>
                <w:kern w:val="0"/>
                <w:sz w:val="24"/>
                <w:szCs w:val="24"/>
              </w:rPr>
              <w:t>②采用纸质银行保函的，应为投标人基本存款账户开户行出具的不可撤销、不可转让的见索即付独立保函。</w:t>
            </w:r>
          </w:p>
          <w:p>
            <w:pPr>
              <w:widowControl/>
              <w:snapToGrid w:val="0"/>
              <w:ind w:left="0" w:leftChars="0" w:firstLine="0" w:firstLineChars="0"/>
              <w:jc w:val="left"/>
              <w:rPr>
                <w:rFonts w:hint="eastAsia" w:ascii="宋体" w:hAnsi="宋体" w:cs="宋体"/>
                <w:bCs/>
                <w:kern w:val="0"/>
                <w:sz w:val="24"/>
                <w:szCs w:val="24"/>
              </w:rPr>
            </w:pPr>
            <w:r>
              <w:rPr>
                <w:rFonts w:hint="eastAsia" w:ascii="宋体" w:hAnsi="宋体" w:cs="宋体"/>
                <w:bCs/>
                <w:kern w:val="0"/>
                <w:sz w:val="24"/>
                <w:szCs w:val="24"/>
              </w:rPr>
              <w:t>③采用纸质担保机构担保的，应为经安徽省地方金融监督管理局审查批准，依法取得融资担保业务经营许可证的融资担保机构出具的不可撤销、不可转让的见索即付独立保函。</w:t>
            </w:r>
          </w:p>
          <w:p>
            <w:pPr>
              <w:widowControl/>
              <w:snapToGrid w:val="0"/>
              <w:ind w:left="0" w:leftChars="0" w:firstLine="0" w:firstLineChars="0"/>
              <w:jc w:val="left"/>
              <w:rPr>
                <w:rFonts w:hint="eastAsia" w:ascii="宋体" w:hAnsi="宋体" w:cs="宋体"/>
                <w:bCs/>
                <w:kern w:val="0"/>
                <w:sz w:val="24"/>
                <w:szCs w:val="24"/>
              </w:rPr>
            </w:pPr>
            <w:r>
              <w:rPr>
                <w:rFonts w:hint="eastAsia" w:ascii="宋体" w:hAnsi="宋体" w:cs="宋体"/>
                <w:bCs/>
                <w:kern w:val="0"/>
                <w:sz w:val="24"/>
                <w:szCs w:val="24"/>
              </w:rPr>
              <w:t>④采用纸质保证保险的，应为保险公司出具的不可撤销、不可转让的见索即付保证保险。</w:t>
            </w:r>
          </w:p>
          <w:p>
            <w:pPr>
              <w:widowControl/>
              <w:snapToGrid w:val="0"/>
              <w:ind w:left="0" w:leftChars="0" w:firstLine="0" w:firstLineChars="0"/>
              <w:jc w:val="left"/>
              <w:rPr>
                <w:rFonts w:hint="eastAsia" w:ascii="宋体" w:hAnsi="宋体" w:cs="宋体"/>
                <w:bCs/>
                <w:kern w:val="0"/>
                <w:sz w:val="24"/>
                <w:szCs w:val="24"/>
              </w:rPr>
            </w:pPr>
            <w:r>
              <w:rPr>
                <w:rFonts w:hint="eastAsia" w:ascii="宋体" w:hAnsi="宋体" w:cs="宋体"/>
                <w:bCs/>
                <w:kern w:val="0"/>
                <w:sz w:val="24"/>
                <w:szCs w:val="24"/>
              </w:rPr>
              <w:t>⑤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扫描件、保函（或保证保险）扫描件编入投标文件中，由评标委员会在评标时审查认定。未提交或未完整提交的视为未按规定提交投标保证金。</w:t>
            </w:r>
          </w:p>
          <w:p>
            <w:pPr>
              <w:widowControl/>
              <w:snapToGrid w:val="0"/>
              <w:ind w:left="0" w:leftChars="0" w:firstLine="0" w:firstLineChars="0"/>
              <w:jc w:val="left"/>
              <w:rPr>
                <w:rFonts w:hint="eastAsia" w:ascii="宋体" w:hAnsi="宋体" w:cs="宋体"/>
                <w:bCs/>
                <w:kern w:val="0"/>
                <w:sz w:val="24"/>
                <w:szCs w:val="24"/>
              </w:rPr>
            </w:pPr>
            <w:r>
              <w:rPr>
                <w:rFonts w:hint="eastAsia" w:ascii="宋体" w:hAnsi="宋体" w:cs="宋体"/>
                <w:bCs/>
                <w:kern w:val="0"/>
                <w:sz w:val="24"/>
                <w:szCs w:val="24"/>
              </w:rPr>
              <w:t>⑥采用电子保函的，请登录全国公共资源交易平台（安徽省•合肥市）（安徽合肥公共资源交易中心网站）“电子保函”栏目查看《合肥市（信易贷）电子保函平台投标保函操作手册》并按照操作手册规定内容办理。</w:t>
            </w:r>
          </w:p>
          <w:p>
            <w:pPr>
              <w:snapToGrid w:val="0"/>
              <w:ind w:left="0" w:leftChars="0" w:firstLine="0" w:firstLineChars="0"/>
              <w:rPr>
                <w:rFonts w:cs="楷体"/>
                <w:b/>
                <w:bCs/>
                <w:snapToGrid w:val="0"/>
                <w:kern w:val="0"/>
                <w:sz w:val="24"/>
                <w:szCs w:val="24"/>
              </w:rPr>
            </w:pPr>
            <w:r>
              <w:rPr>
                <w:rFonts w:hint="eastAsia" w:cs="楷体"/>
                <w:b/>
                <w:bCs/>
                <w:snapToGrid w:val="0"/>
                <w:kern w:val="0"/>
                <w:sz w:val="24"/>
                <w:szCs w:val="24"/>
              </w:rPr>
              <w:t>（4）</w:t>
            </w:r>
            <w:r>
              <w:rPr>
                <w:rFonts w:cs="楷体"/>
                <w:b/>
                <w:bCs/>
                <w:snapToGrid w:val="0"/>
                <w:kern w:val="0"/>
                <w:sz w:val="24"/>
                <w:szCs w:val="24"/>
              </w:rPr>
              <w:t>本项目是否适用免缴投标保证金政策：</w:t>
            </w:r>
          </w:p>
          <w:p>
            <w:pPr>
              <w:snapToGrid w:val="0"/>
              <w:ind w:left="0" w:leftChars="0" w:firstLine="0" w:firstLineChars="0"/>
              <w:rPr>
                <w:rFonts w:ascii="Segoe UI Symbol" w:hAnsi="Segoe UI Symbol" w:cs="Segoe UI Symbol"/>
                <w:b/>
                <w:bCs/>
                <w:snapToGrid w:val="0"/>
                <w:kern w:val="0"/>
                <w:sz w:val="24"/>
                <w:szCs w:val="24"/>
              </w:rPr>
            </w:pPr>
            <w:r>
              <w:rPr>
                <w:rFonts w:hint="eastAsia" w:ascii="Segoe UI Symbol" w:hAnsi="Segoe UI Symbol" w:cs="Segoe UI Symbol"/>
                <w:b/>
                <w:bCs/>
                <w:snapToGrid w:val="0"/>
                <w:kern w:val="0"/>
                <w:sz w:val="24"/>
                <w:szCs w:val="24"/>
              </w:rPr>
              <w:t>□不适用</w:t>
            </w:r>
          </w:p>
          <w:p>
            <w:pPr>
              <w:snapToGrid w:val="0"/>
              <w:ind w:left="0" w:leftChars="0" w:firstLine="0" w:firstLineChars="0"/>
              <w:rPr>
                <w:rFonts w:hint="eastAsia" w:ascii="Calibri" w:hAnsi="Calibri" w:cs="楷体"/>
                <w:b/>
                <w:bCs/>
                <w:snapToGrid w:val="0"/>
                <w:kern w:val="0"/>
                <w:sz w:val="24"/>
                <w:szCs w:val="24"/>
              </w:rPr>
            </w:pPr>
            <w:r>
              <w:rPr>
                <w:rFonts w:hint="eastAsia"/>
                <w:b/>
                <w:sz w:val="24"/>
                <w:szCs w:val="24"/>
              </w:rPr>
              <w:sym w:font="Wingdings" w:char="F0FE"/>
            </w:r>
            <w:r>
              <w:rPr>
                <w:rFonts w:hint="eastAsia" w:ascii="Segoe UI Symbol" w:hAnsi="Segoe UI Symbol" w:cs="Segoe UI Symbol"/>
                <w:b/>
                <w:bCs/>
                <w:snapToGrid w:val="0"/>
                <w:kern w:val="0"/>
                <w:sz w:val="24"/>
                <w:szCs w:val="24"/>
              </w:rPr>
              <w:t>适用，适用免缴投标保证金的情形：</w:t>
            </w:r>
            <w:r>
              <w:rPr>
                <w:rFonts w:hint="eastAsia" w:ascii="Calibri" w:hAnsi="Calibri" w:cs="楷体"/>
                <w:b/>
                <w:bCs/>
                <w:snapToGrid w:val="0"/>
                <w:kern w:val="0"/>
                <w:sz w:val="24"/>
                <w:szCs w:val="24"/>
              </w:rPr>
              <w:t>投标人按招标文件第</w:t>
            </w:r>
            <w:r>
              <w:rPr>
                <w:rFonts w:hint="eastAsia" w:ascii="Calibri" w:hAnsi="Calibri" w:cs="楷体"/>
                <w:b/>
                <w:bCs/>
                <w:snapToGrid w:val="0"/>
                <w:kern w:val="0"/>
                <w:sz w:val="24"/>
                <w:szCs w:val="24"/>
                <w:lang w:val="en-US" w:eastAsia="zh-CN"/>
              </w:rPr>
              <w:t>九</w:t>
            </w:r>
            <w:r>
              <w:rPr>
                <w:rFonts w:hint="eastAsia" w:ascii="Calibri" w:hAnsi="Calibri" w:cs="楷体"/>
                <w:b/>
                <w:bCs/>
                <w:snapToGrid w:val="0"/>
                <w:kern w:val="0"/>
                <w:sz w:val="24"/>
                <w:szCs w:val="24"/>
              </w:rPr>
              <w:t>章“投标人免缴投标保证金信用承诺函”格式进行承诺后，免缴投标保证金。</w:t>
            </w:r>
          </w:p>
          <w:p>
            <w:pPr>
              <w:snapToGrid w:val="0"/>
              <w:ind w:left="0" w:leftChars="0" w:firstLine="0" w:firstLineChars="0"/>
              <w:rPr>
                <w:rFonts w:hint="eastAsia" w:ascii="Calibri" w:hAnsi="Calibri" w:cs="楷体"/>
                <w:bCs/>
                <w:snapToGrid w:val="0"/>
                <w:kern w:val="0"/>
                <w:sz w:val="24"/>
                <w:szCs w:val="24"/>
              </w:rPr>
            </w:pPr>
            <w:r>
              <w:rPr>
                <w:rFonts w:hint="eastAsia" w:ascii="Calibri" w:hAnsi="Calibri" w:cs="楷体"/>
                <w:bCs/>
                <w:snapToGrid w:val="0"/>
                <w:kern w:val="0"/>
                <w:sz w:val="24"/>
                <w:szCs w:val="24"/>
              </w:rPr>
              <w:t>（</w:t>
            </w:r>
            <w:r>
              <w:rPr>
                <w:rFonts w:ascii="Calibri" w:hAnsi="Calibri" w:cs="楷体"/>
                <w:bCs/>
                <w:snapToGrid w:val="0"/>
                <w:kern w:val="0"/>
                <w:sz w:val="24"/>
                <w:szCs w:val="24"/>
              </w:rPr>
              <w:t>5</w:t>
            </w:r>
            <w:r>
              <w:rPr>
                <w:rFonts w:hint="eastAsia" w:ascii="Calibri" w:hAnsi="Calibri" w:cs="楷体"/>
                <w:bCs/>
                <w:snapToGrid w:val="0"/>
                <w:kern w:val="0"/>
                <w:sz w:val="24"/>
                <w:szCs w:val="24"/>
              </w:rPr>
              <w:t>）其他要求：</w:t>
            </w:r>
          </w:p>
          <w:p>
            <w:pPr>
              <w:snapToGrid w:val="0"/>
              <w:ind w:left="0" w:leftChars="0" w:firstLine="0" w:firstLineChars="0"/>
              <w:rPr>
                <w:rFonts w:hint="eastAsia" w:ascii="Calibri" w:hAnsi="Calibri" w:cs="楷体"/>
                <w:bCs/>
                <w:snapToGrid w:val="0"/>
                <w:kern w:val="0"/>
                <w:sz w:val="24"/>
                <w:szCs w:val="24"/>
              </w:rPr>
            </w:pPr>
            <w:r>
              <w:rPr>
                <w:rFonts w:ascii="Calibri" w:hAnsi="Calibri" w:cs="楷体"/>
                <w:bCs/>
                <w:snapToGrid w:val="0"/>
                <w:kern w:val="0"/>
                <w:sz w:val="24"/>
                <w:szCs w:val="24"/>
              </w:rPr>
              <w:t>①</w:t>
            </w:r>
            <w:r>
              <w:rPr>
                <w:rFonts w:hint="eastAsia" w:ascii="Calibri" w:hAnsi="Calibri" w:cs="楷体"/>
                <w:bCs/>
                <w:snapToGrid w:val="0"/>
                <w:kern w:val="0"/>
                <w:sz w:val="24"/>
                <w:szCs w:val="24"/>
              </w:rPr>
              <w:t>特别提醒</w:t>
            </w:r>
          </w:p>
          <w:p>
            <w:pPr>
              <w:snapToGrid w:val="0"/>
              <w:ind w:left="0" w:leftChars="0" w:firstLine="0" w:firstLineChars="0"/>
              <w:rPr>
                <w:rFonts w:hint="eastAsia" w:ascii="Calibri" w:hAnsi="Calibri" w:cs="楷体"/>
                <w:bCs/>
                <w:snapToGrid w:val="0"/>
                <w:kern w:val="0"/>
                <w:sz w:val="24"/>
                <w:szCs w:val="24"/>
              </w:rPr>
            </w:pPr>
            <w:r>
              <w:rPr>
                <w:rFonts w:hint="eastAsia" w:ascii="Calibri" w:hAnsi="Calibri" w:cs="楷体"/>
                <w:bCs/>
                <w:snapToGrid w:val="0"/>
                <w:kern w:val="0"/>
                <w:sz w:val="24"/>
                <w:szCs w:val="24"/>
              </w:rPr>
              <w:t>投标人采用保函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pPr>
              <w:snapToGrid w:val="0"/>
              <w:ind w:left="0" w:leftChars="0" w:firstLine="0" w:firstLineChars="0"/>
              <w:rPr>
                <w:rFonts w:hint="eastAsia" w:ascii="Calibri" w:hAnsi="Calibri" w:cs="楷体"/>
                <w:bCs/>
                <w:snapToGrid w:val="0"/>
                <w:kern w:val="0"/>
                <w:sz w:val="24"/>
                <w:szCs w:val="24"/>
              </w:rPr>
            </w:pPr>
            <w:r>
              <w:rPr>
                <w:rFonts w:ascii="Calibri" w:hAnsi="Calibri" w:cs="楷体"/>
                <w:bCs/>
                <w:snapToGrid w:val="0"/>
                <w:kern w:val="0"/>
                <w:sz w:val="24"/>
                <w:szCs w:val="24"/>
              </w:rPr>
              <w:t>②</w:t>
            </w:r>
            <w:r>
              <w:rPr>
                <w:rFonts w:hint="eastAsia" w:ascii="Calibri" w:hAnsi="Calibri" w:cs="楷体"/>
                <w:bCs/>
                <w:snapToGrid w:val="0"/>
                <w:kern w:val="0"/>
                <w:sz w:val="24"/>
                <w:szCs w:val="24"/>
              </w:rPr>
              <w:t>投标保证金弄虚作假情形</w:t>
            </w:r>
          </w:p>
          <w:p>
            <w:pPr>
              <w:snapToGrid w:val="0"/>
              <w:ind w:left="0" w:leftChars="0" w:firstLine="0" w:firstLineChars="0"/>
              <w:rPr>
                <w:rFonts w:hint="eastAsia" w:ascii="Calibri" w:hAnsi="Calibri" w:cs="楷体"/>
                <w:bCs/>
                <w:snapToGrid w:val="0"/>
                <w:kern w:val="0"/>
                <w:sz w:val="24"/>
                <w:szCs w:val="24"/>
                <w:u w:val="single"/>
              </w:rPr>
            </w:pPr>
            <w:r>
              <w:rPr>
                <w:rFonts w:hint="eastAsia" w:ascii="Calibri" w:hAnsi="Calibri" w:cs="楷体"/>
                <w:bCs/>
                <w:snapToGrid w:val="0"/>
                <w:kern w:val="0"/>
                <w:sz w:val="24"/>
                <w:szCs w:val="24"/>
              </w:rPr>
              <w:t>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pPr>
              <w:snapToGrid w:val="0"/>
              <w:ind w:left="0" w:leftChars="0" w:firstLine="0" w:firstLineChars="0"/>
              <w:rPr>
                <w:rFonts w:hint="eastAsia" w:ascii="Calibri" w:hAnsi="Calibri" w:cs="楷体"/>
                <w:bCs/>
                <w:snapToGrid w:val="0"/>
                <w:kern w:val="0"/>
                <w:sz w:val="24"/>
                <w:szCs w:val="24"/>
                <w:u w:val="single"/>
              </w:rPr>
            </w:pPr>
            <w:r>
              <w:rPr>
                <w:rFonts w:hint="eastAsia" w:ascii="Calibri" w:hAnsi="Calibri" w:cs="楷体"/>
                <w:bCs/>
                <w:snapToGrid w:val="0"/>
                <w:kern w:val="0"/>
                <w:sz w:val="24"/>
                <w:szCs w:val="24"/>
              </w:rPr>
              <w:t>（</w:t>
            </w:r>
            <w:r>
              <w:rPr>
                <w:rFonts w:ascii="Calibri" w:hAnsi="Calibri" w:cs="楷体"/>
                <w:bCs/>
                <w:snapToGrid w:val="0"/>
                <w:kern w:val="0"/>
                <w:sz w:val="24"/>
                <w:szCs w:val="24"/>
              </w:rPr>
              <w:t>6</w:t>
            </w:r>
            <w:r>
              <w:rPr>
                <w:rFonts w:hint="eastAsia" w:ascii="Calibri" w:hAnsi="Calibri" w:cs="楷体"/>
                <w:bCs/>
                <w:snapToGrid w:val="0"/>
                <w:kern w:val="0"/>
                <w:sz w:val="24"/>
                <w:szCs w:val="24"/>
              </w:rPr>
              <w:t>）投标保证金注意事项：</w:t>
            </w:r>
          </w:p>
          <w:p>
            <w:pPr>
              <w:snapToGrid w:val="0"/>
              <w:ind w:left="0" w:leftChars="0" w:firstLine="0" w:firstLineChars="0"/>
              <w:rPr>
                <w:rFonts w:hint="eastAsia" w:ascii="Calibri" w:hAnsi="Calibri" w:cs="楷体"/>
                <w:b/>
                <w:bCs/>
                <w:snapToGrid w:val="0"/>
                <w:kern w:val="0"/>
                <w:sz w:val="24"/>
                <w:szCs w:val="24"/>
              </w:rPr>
            </w:pPr>
            <w:r>
              <w:rPr>
                <w:rFonts w:hint="eastAsia" w:ascii="Calibri" w:hAnsi="Calibri" w:cs="楷体"/>
                <w:b/>
                <w:bCs/>
                <w:snapToGrid w:val="0"/>
                <w:kern w:val="0"/>
                <w:sz w:val="24"/>
                <w:szCs w:val="24"/>
              </w:rPr>
              <w:t>①投标人采用</w:t>
            </w:r>
            <w:r>
              <w:rPr>
                <w:rFonts w:hint="eastAsia" w:ascii="Calibri" w:hAnsi="Calibri" w:cs="楷体"/>
                <w:b/>
                <w:bCs/>
                <w:snapToGrid w:val="0"/>
                <w:kern w:val="0"/>
                <w:sz w:val="24"/>
                <w:szCs w:val="24"/>
                <w:lang w:val="en-US" w:eastAsia="zh-CN"/>
              </w:rPr>
              <w:t>纸质保函</w:t>
            </w:r>
            <w:r>
              <w:rPr>
                <w:rFonts w:hint="eastAsia" w:ascii="Calibri" w:hAnsi="Calibri" w:cs="楷体"/>
                <w:b/>
                <w:bCs/>
                <w:snapToGrid w:val="0"/>
                <w:kern w:val="0"/>
                <w:sz w:val="24"/>
                <w:szCs w:val="24"/>
              </w:rPr>
              <w:t>形式的，须提供明确有效的查询途径（网址链接及查询方式），否则无效。</w:t>
            </w:r>
          </w:p>
          <w:p>
            <w:pPr>
              <w:snapToGrid w:val="0"/>
              <w:ind w:left="0" w:leftChars="0" w:firstLine="0" w:firstLineChars="0"/>
              <w:rPr>
                <w:rFonts w:hint="eastAsia" w:ascii="Calibri" w:hAnsi="Calibri" w:cs="楷体"/>
                <w:bCs/>
                <w:snapToGrid w:val="0"/>
                <w:kern w:val="0"/>
                <w:sz w:val="24"/>
                <w:szCs w:val="24"/>
              </w:rPr>
            </w:pPr>
            <w:r>
              <w:rPr>
                <w:rFonts w:hint="eastAsia" w:ascii="Calibri" w:hAnsi="Calibri" w:cs="楷体"/>
                <w:bCs/>
                <w:snapToGrid w:val="0"/>
                <w:kern w:val="0"/>
                <w:sz w:val="24"/>
                <w:szCs w:val="24"/>
              </w:rPr>
              <w:t>②保函存在明显异常情形的（如多家投标人的保函编号相同；保函存在明显伪造痕迹、内容前后矛盾等情形），评标委员会应根据投标人提供的查询途径进行核查，并在评标报告中予以记录。</w:t>
            </w:r>
          </w:p>
          <w:p>
            <w:pPr>
              <w:widowControl/>
              <w:snapToGrid w:val="0"/>
              <w:ind w:firstLine="0" w:firstLineChars="0"/>
              <w:jc w:val="both"/>
              <w:rPr>
                <w:rFonts w:ascii="宋体" w:hAnsi="宋体" w:cs="宋体"/>
                <w:bCs/>
                <w:kern w:val="0"/>
                <w:sz w:val="24"/>
              </w:rPr>
            </w:pPr>
            <w:r>
              <w:rPr>
                <w:rFonts w:hint="eastAsia" w:ascii="Calibri" w:hAnsi="Calibri" w:cs="楷体"/>
                <w:bCs/>
                <w:snapToGrid w:val="0"/>
                <w:kern w:val="0"/>
                <w:sz w:val="24"/>
                <w:szCs w:val="24"/>
              </w:rPr>
              <w:t>③中标候选人须在中标候选人公示期间将其开具至本招标项目的</w:t>
            </w:r>
            <w:r>
              <w:rPr>
                <w:rFonts w:hint="eastAsia" w:ascii="Calibri" w:hAnsi="Calibri" w:cs="楷体"/>
                <w:bCs/>
                <w:snapToGrid w:val="0"/>
                <w:kern w:val="0"/>
                <w:sz w:val="24"/>
                <w:szCs w:val="24"/>
                <w:lang w:val="en-US" w:eastAsia="zh-CN"/>
              </w:rPr>
              <w:t>纸质保函</w:t>
            </w:r>
            <w:r>
              <w:rPr>
                <w:rFonts w:hint="eastAsia" w:ascii="Calibri" w:hAnsi="Calibri" w:cs="楷体"/>
                <w:bCs/>
                <w:snapToGrid w:val="0"/>
                <w:kern w:val="0"/>
                <w:sz w:val="24"/>
                <w:szCs w:val="24"/>
              </w:rPr>
              <w:t>原件提交招标人（或招标代理机构），且原件须与投标文件中提供的扫描件一致，如存在未按照规定提交或提交内容不一致，或发现弄虚作假的，招标人（或招标代理机构）应报公共资源交易监督管理部门。</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rFonts w:hint="eastAsia"/>
                <w:sz w:val="24"/>
              </w:rPr>
              <w:t>3.4.3</w:t>
            </w:r>
          </w:p>
        </w:tc>
        <w:tc>
          <w:tcPr>
            <w:tcW w:w="255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cs="宋体"/>
                <w:bCs/>
                <w:sz w:val="24"/>
              </w:rPr>
            </w:pPr>
            <w:r>
              <w:rPr>
                <w:rFonts w:hint="eastAsia" w:cs="宋体"/>
                <w:bCs/>
                <w:sz w:val="24"/>
              </w:rPr>
              <w:t>投标保证金的退还</w:t>
            </w:r>
          </w:p>
        </w:tc>
        <w:tc>
          <w:tcPr>
            <w:tcW w:w="533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cs="宋体"/>
                <w:bCs/>
                <w:sz w:val="24"/>
              </w:rPr>
            </w:pPr>
            <w:r>
              <w:rPr>
                <w:rFonts w:hint="eastAsia" w:cs="宋体"/>
                <w:bCs/>
                <w:sz w:val="24"/>
              </w:rPr>
              <w:t>按照安徽合肥公共资源交易中心《关于进一步优化投标保证金退还流程的通知》（合公中心〔2023〕3号）执行。</w:t>
            </w:r>
          </w:p>
          <w:p>
            <w:pPr>
              <w:snapToGrid w:val="0"/>
              <w:ind w:firstLine="0" w:firstLineChars="0"/>
              <w:rPr>
                <w:rFonts w:cs="宋体"/>
                <w:bCs/>
                <w:sz w:val="24"/>
              </w:rPr>
            </w:pPr>
            <w:r>
              <w:rPr>
                <w:rFonts w:hint="eastAsia" w:cs="宋体"/>
                <w:bCs/>
                <w:sz w:val="24"/>
              </w:rPr>
              <w:t>（如有最新规定，按照最新规定执行）</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3.4.4</w:t>
            </w:r>
            <w:r>
              <w:rPr>
                <w:rFonts w:hint="eastAsia"/>
                <w:sz w:val="24"/>
              </w:rPr>
              <w:t>（3）</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其他不予退还投标保证金的情形</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3.5</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资格审查资料的特殊要求</w:t>
            </w:r>
          </w:p>
        </w:tc>
        <w:tc>
          <w:tcPr>
            <w:tcW w:w="5332" w:type="dxa"/>
            <w:tcBorders>
              <w:top w:val="single" w:color="auto" w:sz="4" w:space="0"/>
              <w:left w:val="single" w:color="auto" w:sz="4" w:space="0"/>
              <w:bottom w:val="single" w:color="auto" w:sz="4" w:space="0"/>
              <w:right w:val="single" w:color="auto" w:sz="4" w:space="0"/>
            </w:tcBorders>
            <w:vAlign w:val="center"/>
          </w:tcPr>
          <w:p>
            <w:pPr>
              <w:pStyle w:val="20"/>
              <w:topLinePunct/>
              <w:spacing w:line="360" w:lineRule="atLeast"/>
              <w:ind w:firstLine="0" w:firstLineChars="0"/>
              <w:rPr>
                <w:rFonts w:ascii="Times New Roman"/>
                <w:kern w:val="2"/>
                <w:szCs w:val="24"/>
              </w:rPr>
            </w:pPr>
            <w:r>
              <w:rPr>
                <w:rFonts w:hint="eastAsia" w:ascii="MS Mincho" w:hAnsi="MS Mincho" w:eastAsia="MS Mincho" w:cs="MS Mincho"/>
                <w:kern w:val="2"/>
                <w:szCs w:val="24"/>
              </w:rPr>
              <w:t>☑</w:t>
            </w:r>
            <w:r>
              <w:rPr>
                <w:rFonts w:hint="eastAsia" w:ascii="Times New Roman"/>
                <w:kern w:val="2"/>
                <w:szCs w:val="24"/>
              </w:rPr>
              <w:t>无</w:t>
            </w:r>
          </w:p>
          <w:p>
            <w:pPr>
              <w:spacing w:line="400" w:lineRule="atLeast"/>
              <w:ind w:firstLine="0" w:firstLineChars="0"/>
              <w:rPr>
                <w:sz w:val="24"/>
                <w:u w:val="single"/>
              </w:rPr>
            </w:pPr>
            <w:r>
              <w:rPr>
                <w:rFonts w:hint="eastAsia"/>
                <w:sz w:val="24"/>
              </w:rPr>
              <w:t>□有，具体要求：</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3.5.2</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近年财务状况的年份要求</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3.5.3</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近年完成的类似项目情况的时间要求</w:t>
            </w:r>
          </w:p>
        </w:tc>
        <w:tc>
          <w:tcPr>
            <w:tcW w:w="5332"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ind w:firstLine="0" w:firstLineChars="0"/>
              <w:rPr>
                <w:sz w:val="24"/>
              </w:rPr>
            </w:pPr>
            <w:r>
              <w:rPr>
                <w:rFonts w:hint="eastAsia"/>
                <w:sz w:val="24"/>
              </w:rPr>
              <w:t>见招标公告</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3.6.1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是否允许递交备选投标方案</w:t>
            </w:r>
          </w:p>
        </w:tc>
        <w:tc>
          <w:tcPr>
            <w:tcW w:w="533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rPr>
            </w:pPr>
            <w:r>
              <w:rPr>
                <w:rFonts w:hint="eastAsia" w:ascii="MS Mincho" w:hAnsi="MS Mincho" w:eastAsia="MS Mincho" w:cs="MS Mincho"/>
                <w:sz w:val="24"/>
              </w:rPr>
              <w:t>☑</w:t>
            </w:r>
            <w:r>
              <w:rPr>
                <w:rFonts w:hint="eastAsia"/>
                <w:sz w:val="24"/>
              </w:rPr>
              <w:t>不允许</w:t>
            </w:r>
          </w:p>
          <w:p>
            <w:pPr>
              <w:snapToGrid w:val="0"/>
              <w:ind w:firstLine="0" w:firstLineChars="0"/>
              <w:rPr>
                <w:sz w:val="24"/>
              </w:rPr>
            </w:pPr>
            <w:r>
              <w:rPr>
                <w:sz w:val="24"/>
              </w:rPr>
              <w:sym w:font="Wingdings 2" w:char="00A3"/>
            </w:r>
            <w:r>
              <w:rPr>
                <w:sz w:val="24"/>
              </w:rPr>
              <w:t>允许，具体要求：</w:t>
            </w:r>
            <w:r>
              <w:rPr>
                <w:sz w:val="24"/>
                <w:u w:val="single"/>
              </w:rPr>
              <w:t xml:space="preserve">      </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3.7.4</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非加密投标文件递交</w:t>
            </w:r>
          </w:p>
        </w:tc>
        <w:tc>
          <w:tcPr>
            <w:tcW w:w="533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left"/>
              <w:rPr>
                <w:sz w:val="24"/>
              </w:rPr>
            </w:pPr>
            <w:r>
              <w:rPr>
                <w:sz w:val="24"/>
              </w:rPr>
              <w:sym w:font="Wingdings 2" w:char="0052"/>
            </w:r>
            <w:r>
              <w:rPr>
                <w:sz w:val="24"/>
              </w:rPr>
              <w:t>不允许。</w:t>
            </w:r>
          </w:p>
          <w:p>
            <w:pPr>
              <w:ind w:firstLine="0" w:firstLineChars="0"/>
              <w:jc w:val="left"/>
              <w:rPr>
                <w:sz w:val="24"/>
              </w:rPr>
            </w:pPr>
            <w:r>
              <w:rPr>
                <w:rFonts w:hint="eastAsia" w:ascii="MS Mincho" w:hAnsi="MS Mincho" w:eastAsia="宋体" w:cs="MS Mincho"/>
                <w:sz w:val="24"/>
                <w:lang w:eastAsia="zh-CN"/>
              </w:rPr>
              <w:t>□</w:t>
            </w:r>
            <w:r>
              <w:rPr>
                <w:sz w:val="24"/>
              </w:rPr>
              <w:t>允许，具体要求如下：</w:t>
            </w:r>
          </w:p>
          <w:p>
            <w:pPr>
              <w:ind w:firstLine="0" w:firstLineChars="0"/>
              <w:jc w:val="left"/>
              <w:rPr>
                <w:sz w:val="24"/>
              </w:rPr>
            </w:pPr>
            <w:r>
              <w:rPr>
                <w:sz w:val="24"/>
              </w:rPr>
              <w:t>非加密投标文件由投标人自行确定是否递交。</w:t>
            </w:r>
          </w:p>
          <w:p>
            <w:pPr>
              <w:ind w:firstLine="0" w:firstLineChars="0"/>
              <w:jc w:val="left"/>
              <w:rPr>
                <w:sz w:val="24"/>
              </w:rPr>
            </w:pPr>
            <w:r>
              <w:rPr>
                <w:sz w:val="24"/>
              </w:rPr>
              <w:t>如递交，应在投标截止时间前在开标地点递交，并提供以下证明材料，否则招标人不予接收。</w:t>
            </w:r>
          </w:p>
          <w:p>
            <w:pPr>
              <w:ind w:firstLine="0" w:firstLineChars="0"/>
              <w:jc w:val="left"/>
              <w:rPr>
                <w:sz w:val="24"/>
              </w:rPr>
            </w:pPr>
            <w:r>
              <w:rPr>
                <w:sz w:val="24"/>
              </w:rPr>
              <w:t>（1）法定代表人亲自递交的，应提供法定代表人身份证明和法定代表人的有效身份证件；</w:t>
            </w:r>
          </w:p>
          <w:p>
            <w:pPr>
              <w:ind w:firstLine="0" w:firstLineChars="0"/>
              <w:jc w:val="left"/>
              <w:rPr>
                <w:sz w:val="24"/>
              </w:rPr>
            </w:pPr>
            <w:r>
              <w:rPr>
                <w:sz w:val="24"/>
              </w:rPr>
              <w:t>（2）委托代理人递交的，应提供授权委托书和委托代理人的有效身份证件。</w:t>
            </w:r>
          </w:p>
          <w:p>
            <w:pPr>
              <w:ind w:firstLine="0" w:firstLineChars="0"/>
              <w:jc w:val="left"/>
              <w:rPr>
                <w:sz w:val="24"/>
              </w:rPr>
            </w:pPr>
            <w:r>
              <w:rPr>
                <w:sz w:val="24"/>
              </w:rPr>
              <w:t>非加密投标文件介质：光盘或U盘</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4.1.2</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非加密投标文件密封和标记要求</w:t>
            </w:r>
          </w:p>
        </w:tc>
        <w:tc>
          <w:tcPr>
            <w:tcW w:w="533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left"/>
              <w:rPr>
                <w:snapToGrid w:val="0"/>
                <w:kern w:val="0"/>
                <w:sz w:val="24"/>
              </w:rPr>
            </w:pPr>
            <w:r>
              <w:rPr>
                <w:snapToGrid w:val="0"/>
                <w:kern w:val="0"/>
                <w:sz w:val="24"/>
              </w:rPr>
              <w:t>非加密投标文件封套：</w:t>
            </w:r>
          </w:p>
          <w:p>
            <w:pPr>
              <w:snapToGrid w:val="0"/>
              <w:ind w:firstLine="0" w:firstLineChars="0"/>
              <w:jc w:val="left"/>
              <w:rPr>
                <w:snapToGrid w:val="0"/>
                <w:kern w:val="0"/>
                <w:sz w:val="24"/>
              </w:rPr>
            </w:pPr>
            <w:r>
              <w:rPr>
                <w:snapToGrid w:val="0"/>
                <w:kern w:val="0"/>
                <w:sz w:val="24"/>
              </w:rPr>
              <w:t>投标人名称：</w:t>
            </w:r>
            <w:r>
              <w:rPr>
                <w:sz w:val="24"/>
                <w:u w:val="single"/>
              </w:rPr>
              <w:t xml:space="preserve">      </w:t>
            </w:r>
          </w:p>
          <w:p>
            <w:pPr>
              <w:snapToGrid w:val="0"/>
              <w:ind w:firstLine="0" w:firstLineChars="0"/>
              <w:jc w:val="left"/>
              <w:rPr>
                <w:snapToGrid w:val="0"/>
                <w:kern w:val="0"/>
                <w:sz w:val="24"/>
              </w:rPr>
            </w:pPr>
            <w:r>
              <w:rPr>
                <w:rFonts w:hint="eastAsia"/>
                <w:snapToGrid w:val="0"/>
                <w:kern w:val="0"/>
                <w:sz w:val="24"/>
                <w:u w:val="single"/>
              </w:rPr>
              <w:t>（</w:t>
            </w:r>
            <w:r>
              <w:rPr>
                <w:snapToGrid w:val="0"/>
                <w:kern w:val="0"/>
                <w:sz w:val="24"/>
                <w:u w:val="single"/>
              </w:rPr>
              <w:t>招标项目名称</w:t>
            </w:r>
            <w:r>
              <w:rPr>
                <w:rFonts w:hint="eastAsia"/>
                <w:snapToGrid w:val="0"/>
                <w:kern w:val="0"/>
                <w:sz w:val="24"/>
                <w:u w:val="single"/>
              </w:rPr>
              <w:t>）</w:t>
            </w:r>
            <w:r>
              <w:rPr>
                <w:sz w:val="24"/>
              </w:rPr>
              <w:t xml:space="preserve">  </w:t>
            </w:r>
            <w:r>
              <w:rPr>
                <w:rFonts w:hint="eastAsia" w:cs="宋体"/>
                <w:bCs/>
                <w:sz w:val="24"/>
                <w:u w:val="single"/>
              </w:rPr>
              <w:t xml:space="preserve">      </w:t>
            </w:r>
            <w:r>
              <w:rPr>
                <w:snapToGrid w:val="0"/>
                <w:kern w:val="0"/>
                <w:sz w:val="24"/>
              </w:rPr>
              <w:t>标段投标文件</w:t>
            </w:r>
          </w:p>
          <w:p>
            <w:pPr>
              <w:snapToGrid w:val="0"/>
              <w:ind w:firstLine="0" w:firstLineChars="0"/>
              <w:jc w:val="left"/>
              <w:rPr>
                <w:snapToGrid w:val="0"/>
                <w:kern w:val="0"/>
                <w:sz w:val="24"/>
              </w:rPr>
            </w:pPr>
            <w:r>
              <w:rPr>
                <w:snapToGrid w:val="0"/>
                <w:kern w:val="0"/>
                <w:sz w:val="24"/>
              </w:rPr>
              <w:t>（非加密投标文件）</w:t>
            </w:r>
          </w:p>
          <w:p>
            <w:pPr>
              <w:snapToGrid w:val="0"/>
              <w:ind w:firstLine="0" w:firstLineChars="0"/>
              <w:jc w:val="left"/>
              <w:rPr>
                <w:sz w:val="24"/>
              </w:rPr>
            </w:pPr>
            <w:r>
              <w:rPr>
                <w:snapToGrid w:val="0"/>
                <w:kern w:val="0"/>
                <w:sz w:val="24"/>
              </w:rPr>
              <w:t>在</w:t>
            </w:r>
            <w:r>
              <w:rPr>
                <w:snapToGrid w:val="0"/>
                <w:kern w:val="0"/>
                <w:sz w:val="24"/>
                <w:u w:val="single"/>
              </w:rPr>
              <w:t xml:space="preserve">    </w:t>
            </w:r>
            <w:r>
              <w:rPr>
                <w:snapToGrid w:val="0"/>
                <w:kern w:val="0"/>
                <w:sz w:val="24"/>
              </w:rPr>
              <w:t>年</w:t>
            </w:r>
            <w:r>
              <w:rPr>
                <w:snapToGrid w:val="0"/>
                <w:kern w:val="0"/>
                <w:sz w:val="24"/>
                <w:u w:val="single"/>
              </w:rPr>
              <w:t xml:space="preserve">   </w:t>
            </w:r>
            <w:r>
              <w:rPr>
                <w:snapToGrid w:val="0"/>
                <w:kern w:val="0"/>
                <w:sz w:val="24"/>
              </w:rPr>
              <w:t>月</w:t>
            </w:r>
            <w:r>
              <w:rPr>
                <w:snapToGrid w:val="0"/>
                <w:kern w:val="0"/>
                <w:sz w:val="24"/>
                <w:u w:val="single"/>
              </w:rPr>
              <w:t xml:space="preserve">   </w:t>
            </w:r>
            <w:r>
              <w:rPr>
                <w:snapToGrid w:val="0"/>
                <w:kern w:val="0"/>
                <w:sz w:val="24"/>
              </w:rPr>
              <w:t>日</w:t>
            </w:r>
            <w:r>
              <w:rPr>
                <w:snapToGrid w:val="0"/>
                <w:kern w:val="0"/>
                <w:sz w:val="24"/>
                <w:u w:val="single"/>
              </w:rPr>
              <w:t xml:space="preserve">   </w:t>
            </w:r>
            <w:r>
              <w:rPr>
                <w:snapToGrid w:val="0"/>
                <w:kern w:val="0"/>
                <w:sz w:val="24"/>
              </w:rPr>
              <w:t>时</w:t>
            </w:r>
            <w:r>
              <w:rPr>
                <w:snapToGrid w:val="0"/>
                <w:kern w:val="0"/>
                <w:sz w:val="24"/>
                <w:u w:val="single"/>
              </w:rPr>
              <w:t xml:space="preserve">   </w:t>
            </w:r>
            <w:r>
              <w:rPr>
                <w:snapToGrid w:val="0"/>
                <w:kern w:val="0"/>
                <w:sz w:val="24"/>
              </w:rPr>
              <w:t>分前不得开启</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4.2.2</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递交非加密电子投标文件地点</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同开标地点</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4.2.3</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是否退还投标文件</w:t>
            </w:r>
          </w:p>
        </w:tc>
        <w:tc>
          <w:tcPr>
            <w:tcW w:w="533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rPr>
            </w:pPr>
            <w:r>
              <w:rPr>
                <w:rFonts w:hint="eastAsia" w:ascii="MS Mincho" w:hAnsi="MS Mincho" w:eastAsia="MS Mincho" w:cs="MS Mincho"/>
                <w:sz w:val="24"/>
              </w:rPr>
              <w:t>☑</w:t>
            </w:r>
            <w:r>
              <w:rPr>
                <w:rFonts w:hint="eastAsia"/>
                <w:sz w:val="24"/>
              </w:rPr>
              <w:t>否</w:t>
            </w:r>
          </w:p>
          <w:p>
            <w:pPr>
              <w:spacing w:line="400" w:lineRule="atLeast"/>
              <w:ind w:firstLine="0" w:firstLineChars="0"/>
              <w:rPr>
                <w:sz w:val="24"/>
                <w:u w:val="single"/>
              </w:rPr>
            </w:pPr>
            <w:r>
              <w:rPr>
                <w:rFonts w:hint="eastAsia"/>
                <w:sz w:val="24"/>
              </w:rPr>
              <w:t>□是，退还安排：</w:t>
            </w:r>
            <w:r>
              <w:rPr>
                <w:rFonts w:hint="eastAsia"/>
                <w:sz w:val="24"/>
                <w:u w:val="single"/>
              </w:rPr>
              <w:t xml:space="preserve">  /  </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5.1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开标时间和地点</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开标时间：同投标截止时间</w:t>
            </w:r>
          </w:p>
          <w:p>
            <w:pPr>
              <w:spacing w:line="400" w:lineRule="atLeast"/>
              <w:ind w:firstLine="0" w:firstLineChars="0"/>
              <w:rPr>
                <w:sz w:val="24"/>
              </w:rPr>
            </w:pPr>
            <w:r>
              <w:rPr>
                <w:rFonts w:hint="eastAsia"/>
                <w:sz w:val="24"/>
              </w:rPr>
              <w:t>开标地点：见招标公告</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5.2</w:t>
            </w:r>
            <w:r>
              <w:rPr>
                <w:rFonts w:hint="eastAsia"/>
                <w:sz w:val="24"/>
              </w:rPr>
              <w:t>.1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开标程序</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（3）解密时间：30分钟（以电子交易系统解密倒计时为准）；</w:t>
            </w:r>
          </w:p>
          <w:p>
            <w:pPr>
              <w:spacing w:line="400" w:lineRule="atLeast"/>
              <w:ind w:firstLine="0" w:firstLineChars="0"/>
              <w:rPr>
                <w:sz w:val="24"/>
              </w:rPr>
            </w:pPr>
            <w:r>
              <w:rPr>
                <w:sz w:val="24"/>
              </w:rPr>
              <w:t>（5）公布投标人名称、标段名称、质量目标、安全目标、工期及其他内容；</w:t>
            </w:r>
          </w:p>
          <w:p>
            <w:pPr>
              <w:spacing w:line="400" w:lineRule="atLeast"/>
              <w:ind w:firstLine="0" w:firstLineChars="0"/>
              <w:rPr>
                <w:sz w:val="24"/>
              </w:rPr>
            </w:pPr>
            <w:r>
              <w:rPr>
                <w:sz w:val="24"/>
              </w:rPr>
              <w:t>（6）公布投标人名称、标段名称、投标报价、质量目标、工期及其他内容；</w:t>
            </w:r>
          </w:p>
          <w:p>
            <w:pPr>
              <w:spacing w:line="400" w:lineRule="atLeast"/>
              <w:ind w:firstLine="0" w:firstLineChars="0"/>
              <w:rPr>
                <w:sz w:val="24"/>
              </w:rPr>
            </w:pPr>
            <w:r>
              <w:rPr>
                <w:sz w:val="24"/>
              </w:rPr>
              <w:t>多标段开标顺序：</w:t>
            </w:r>
            <w:r>
              <w:rPr>
                <w:rFonts w:hint="eastAsia"/>
                <w:sz w:val="24"/>
                <w:u w:val="single"/>
              </w:rPr>
              <w:t xml:space="preserve"> / </w:t>
            </w:r>
            <w:r>
              <w:rPr>
                <w:sz w:val="24"/>
              </w:rPr>
              <w:t>。</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5.2.2</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不再参加评标基准价计算的其他情形</w:t>
            </w:r>
          </w:p>
        </w:tc>
        <w:tc>
          <w:tcPr>
            <w:tcW w:w="5332"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sz w:val="24"/>
              </w:rPr>
            </w:pPr>
            <w:r>
              <w:rPr>
                <w:sz w:val="24"/>
                <w:u w:val="single"/>
              </w:rPr>
              <w:t xml:space="preserve">  </w:t>
            </w:r>
            <w:r>
              <w:rPr>
                <w:rFonts w:hint="eastAsia"/>
                <w:sz w:val="24"/>
                <w:u w:val="single"/>
              </w:rPr>
              <w:t>/</w:t>
            </w:r>
            <w:r>
              <w:rPr>
                <w:sz w:val="24"/>
                <w:u w:val="single"/>
              </w:rPr>
              <w:t xml:space="preserve">  </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6.1.1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评标委员会的组建</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评标委员会构成：</w:t>
            </w:r>
            <w:r>
              <w:rPr>
                <w:rFonts w:hint="eastAsia"/>
                <w:sz w:val="24"/>
                <w:u w:val="single"/>
              </w:rPr>
              <w:t xml:space="preserve">     依法组建     </w:t>
            </w:r>
          </w:p>
          <w:p>
            <w:pPr>
              <w:spacing w:line="400" w:lineRule="atLeast"/>
              <w:ind w:firstLine="0" w:firstLineChars="0"/>
              <w:rPr>
                <w:sz w:val="24"/>
              </w:rPr>
            </w:pPr>
            <w:r>
              <w:rPr>
                <w:rFonts w:hint="eastAsia"/>
                <w:sz w:val="24"/>
              </w:rPr>
              <w:t>评标专家确定方式：</w:t>
            </w:r>
            <w:r>
              <w:rPr>
                <w:rFonts w:hint="eastAsia"/>
                <w:sz w:val="24"/>
                <w:u w:val="single"/>
              </w:rPr>
              <w:t xml:space="preserve">   依法确定     </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6.3.2</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评标委员会推荐中标候选人的人数</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highlight w:val="none"/>
                <w:lang w:val="en-US" w:eastAsia="zh-CN"/>
              </w:rPr>
              <w:t>1</w:t>
            </w:r>
            <w:r>
              <w:rPr>
                <w:rFonts w:hint="eastAsia"/>
                <w:sz w:val="24"/>
                <w:highlight w:val="none"/>
              </w:rPr>
              <w:t>家</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6.4</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中标候选人公示媒介、期限及其他内容</w:t>
            </w:r>
          </w:p>
        </w:tc>
        <w:tc>
          <w:tcPr>
            <w:tcW w:w="5332"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sz w:val="24"/>
              </w:rPr>
            </w:pPr>
            <w:r>
              <w:rPr>
                <w:rFonts w:hint="eastAsia"/>
                <w:sz w:val="24"/>
              </w:rPr>
              <w:t>（1）</w:t>
            </w:r>
            <w:r>
              <w:rPr>
                <w:sz w:val="24"/>
              </w:rPr>
              <w:t>公示媒介：同招标公告发布媒介</w:t>
            </w:r>
          </w:p>
          <w:p>
            <w:pPr>
              <w:ind w:firstLine="0" w:firstLineChars="0"/>
              <w:jc w:val="left"/>
              <w:rPr>
                <w:sz w:val="24"/>
              </w:rPr>
            </w:pPr>
            <w:r>
              <w:rPr>
                <w:rFonts w:hint="eastAsia"/>
                <w:sz w:val="24"/>
              </w:rPr>
              <w:t>（2）</w:t>
            </w:r>
            <w:r>
              <w:rPr>
                <w:sz w:val="24"/>
              </w:rPr>
              <w:t>公示期限：</w:t>
            </w:r>
            <w:r>
              <w:rPr>
                <w:rFonts w:hint="eastAsia"/>
                <w:sz w:val="24"/>
                <w:u w:val="single"/>
              </w:rPr>
              <w:t>不少于3</w:t>
            </w:r>
            <w:r>
              <w:rPr>
                <w:sz w:val="24"/>
                <w:u w:val="single"/>
              </w:rPr>
              <w:t xml:space="preserve"> </w:t>
            </w:r>
            <w:r>
              <w:rPr>
                <w:sz w:val="24"/>
              </w:rPr>
              <w:t>日（公示期截止时间在法定休息日的应顺延至首个工作日）</w:t>
            </w:r>
          </w:p>
          <w:p>
            <w:pPr>
              <w:ind w:firstLine="0" w:firstLineChars="0"/>
              <w:jc w:val="left"/>
              <w:rPr>
                <w:sz w:val="24"/>
              </w:rPr>
            </w:pPr>
            <w:r>
              <w:rPr>
                <w:rFonts w:hint="eastAsia"/>
                <w:sz w:val="24"/>
              </w:rPr>
              <w:t>3.</w:t>
            </w:r>
            <w:r>
              <w:rPr>
                <w:sz w:val="24"/>
              </w:rPr>
              <w:t>公示的其他内容：</w:t>
            </w:r>
          </w:p>
          <w:p>
            <w:pPr>
              <w:ind w:firstLine="0" w:firstLineChars="0"/>
              <w:jc w:val="left"/>
              <w:rPr>
                <w:sz w:val="24"/>
              </w:rPr>
            </w:pPr>
            <w:r>
              <w:rPr>
                <w:rFonts w:hint="eastAsia"/>
                <w:sz w:val="24"/>
              </w:rPr>
              <w:t>进入安徽合肥公共资源交易平台交易的工程建设项目，招标人（或委托代理机构）在发布中标候选人公示时应当同时公开以下评标情况：</w:t>
            </w:r>
          </w:p>
          <w:p>
            <w:pPr>
              <w:ind w:firstLine="0" w:firstLineChars="0"/>
              <w:jc w:val="left"/>
              <w:rPr>
                <w:sz w:val="24"/>
              </w:rPr>
            </w:pPr>
            <w:r>
              <w:rPr>
                <w:rFonts w:hint="eastAsia"/>
                <w:sz w:val="24"/>
              </w:rPr>
              <w:t>a.投标人名称、投标报价、投标文件被否决的原因及依据；</w:t>
            </w:r>
          </w:p>
          <w:p>
            <w:pPr>
              <w:ind w:firstLine="0" w:firstLineChars="0"/>
              <w:jc w:val="left"/>
              <w:rPr>
                <w:sz w:val="24"/>
              </w:rPr>
            </w:pPr>
            <w:r>
              <w:rPr>
                <w:rFonts w:hint="eastAsia"/>
                <w:sz w:val="24"/>
              </w:rPr>
              <w:t>b.评标委员会的评分情况。包括商务文件、技术文件、报价文件评分，其中技术文件还需公开采用编码标注的各评标委员会成员评分。</w:t>
            </w:r>
          </w:p>
          <w:p>
            <w:pPr>
              <w:snapToGrid w:val="0"/>
              <w:ind w:firstLine="0" w:firstLineChars="0"/>
              <w:rPr>
                <w:sz w:val="24"/>
              </w:rPr>
            </w:pPr>
            <w:r>
              <w:rPr>
                <w:rFonts w:hint="eastAsia"/>
                <w:sz w:val="24"/>
              </w:rPr>
              <w:t>c.</w:t>
            </w:r>
            <w:r>
              <w:rPr>
                <w:rFonts w:hint="eastAsia"/>
                <w:bCs/>
                <w:sz w:val="24"/>
              </w:rPr>
              <w:t xml:space="preserve"> 中标候选人经评审通过的投标人业绩（如要求）、项目经理名称及项目经理业绩（如要求）</w:t>
            </w:r>
          </w:p>
          <w:p>
            <w:pPr>
              <w:snapToGrid w:val="0"/>
              <w:ind w:firstLine="0" w:firstLineChars="0"/>
              <w:rPr>
                <w:rFonts w:cs="宋体"/>
                <w:bCs/>
                <w:sz w:val="24"/>
              </w:rPr>
            </w:pPr>
            <w:r>
              <w:rPr>
                <w:rFonts w:hint="eastAsia" w:cs="宋体"/>
                <w:bCs/>
                <w:sz w:val="24"/>
              </w:rPr>
              <w:t>（如有最新规定，按照最新规定执行）。</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7.</w:t>
            </w:r>
            <w:r>
              <w:rPr>
                <w:rFonts w:hint="eastAsia"/>
                <w:sz w:val="24"/>
              </w:rPr>
              <w:t>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是否授权评标委员会确定中标人</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ascii="MS Mincho" w:hAnsi="MS Mincho" w:eastAsia="MS Mincho" w:cs="MS Mincho"/>
                <w:sz w:val="24"/>
              </w:rPr>
              <w:t>☑</w:t>
            </w:r>
            <w:r>
              <w:rPr>
                <w:rFonts w:hint="eastAsia"/>
                <w:sz w:val="24"/>
              </w:rPr>
              <w:t>是</w:t>
            </w:r>
          </w:p>
          <w:p>
            <w:pPr>
              <w:spacing w:line="400" w:lineRule="atLeast"/>
              <w:ind w:firstLine="0" w:firstLineChars="0"/>
              <w:rPr>
                <w:sz w:val="24"/>
              </w:rPr>
            </w:pPr>
            <w:r>
              <w:rPr>
                <w:rFonts w:hint="eastAsia"/>
                <w:sz w:val="24"/>
              </w:rPr>
              <w:t>□否</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7</w:t>
            </w:r>
            <w:r>
              <w:rPr>
                <w:sz w:val="24"/>
              </w:rPr>
              <w:t>.</w:t>
            </w:r>
            <w:r>
              <w:rPr>
                <w:rFonts w:hint="eastAsia"/>
                <w:sz w:val="24"/>
              </w:rPr>
              <w:t>2</w:t>
            </w:r>
          </w:p>
        </w:tc>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0" w:firstLineChars="0"/>
              <w:jc w:val="center"/>
              <w:rPr>
                <w:sz w:val="24"/>
              </w:rPr>
            </w:pPr>
            <w:r>
              <w:rPr>
                <w:rFonts w:hint="eastAsia"/>
                <w:sz w:val="24"/>
              </w:rPr>
              <w:t>中标结果公示媒介</w:t>
            </w:r>
          </w:p>
        </w:tc>
        <w:tc>
          <w:tcPr>
            <w:tcW w:w="533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rPr>
            </w:pPr>
            <w:r>
              <w:rPr>
                <w:rFonts w:hint="eastAsia"/>
                <w:sz w:val="24"/>
              </w:rPr>
              <w:t>同招标公告发布媒介</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7.3</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中标通知书和中标结果通知发出的形式</w:t>
            </w:r>
          </w:p>
        </w:tc>
        <w:tc>
          <w:tcPr>
            <w:tcW w:w="533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left"/>
              <w:rPr>
                <w:sz w:val="24"/>
              </w:rPr>
            </w:pPr>
            <w:r>
              <w:rPr>
                <w:rFonts w:hint="eastAsia"/>
                <w:sz w:val="24"/>
              </w:rPr>
              <w:t>（1）</w:t>
            </w:r>
            <w:r>
              <w:rPr>
                <w:sz w:val="24"/>
              </w:rPr>
              <w:t>中标通知书发出的形式：</w:t>
            </w:r>
            <w:r>
              <w:rPr>
                <w:sz w:val="24"/>
              </w:rPr>
              <w:sym w:font="Wingdings 2" w:char="0052"/>
            </w:r>
            <w:r>
              <w:rPr>
                <w:sz w:val="24"/>
              </w:rPr>
              <w:t xml:space="preserve">数据电文  </w:t>
            </w:r>
            <w:r>
              <w:rPr>
                <w:sz w:val="24"/>
              </w:rPr>
              <w:sym w:font="Wingdings 2" w:char="00A3"/>
            </w:r>
            <w:r>
              <w:rPr>
                <w:sz w:val="24"/>
              </w:rPr>
              <w:t>纸质</w:t>
            </w:r>
          </w:p>
          <w:p>
            <w:pPr>
              <w:snapToGrid w:val="0"/>
              <w:ind w:firstLine="0" w:firstLineChars="0"/>
              <w:jc w:val="left"/>
              <w:rPr>
                <w:sz w:val="24"/>
              </w:rPr>
            </w:pPr>
            <w:r>
              <w:rPr>
                <w:rFonts w:hint="eastAsia"/>
                <w:sz w:val="24"/>
              </w:rPr>
              <w:t>（2）</w:t>
            </w:r>
            <w:r>
              <w:rPr>
                <w:sz w:val="24"/>
              </w:rPr>
              <w:t>中标结果通知发出的形式：</w:t>
            </w:r>
            <w:r>
              <w:rPr>
                <w:sz w:val="24"/>
              </w:rPr>
              <w:sym w:font="Wingdings 2" w:char="0052"/>
            </w:r>
            <w:r>
              <w:rPr>
                <w:sz w:val="24"/>
              </w:rPr>
              <w:t xml:space="preserve">数据电文  </w:t>
            </w:r>
            <w:r>
              <w:rPr>
                <w:sz w:val="24"/>
              </w:rPr>
              <w:sym w:font="Wingdings 2" w:char="00A3"/>
            </w:r>
            <w:r>
              <w:rPr>
                <w:sz w:val="24"/>
              </w:rPr>
              <w:t>纸质</w:t>
            </w:r>
          </w:p>
          <w:p>
            <w:pPr>
              <w:snapToGrid w:val="0"/>
              <w:ind w:firstLine="0" w:firstLineChars="0"/>
              <w:jc w:val="left"/>
              <w:rPr>
                <w:sz w:val="24"/>
              </w:rPr>
            </w:pPr>
            <w:r>
              <w:rPr>
                <w:sz w:val="24"/>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tblPrEx>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8</w:t>
            </w:r>
            <w:r>
              <w:rPr>
                <w:sz w:val="24"/>
              </w:rPr>
              <w:t>.1</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履约保证金</w:t>
            </w:r>
          </w:p>
        </w:tc>
        <w:tc>
          <w:tcPr>
            <w:tcW w:w="533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b/>
                <w:bCs/>
                <w:sz w:val="24"/>
                <w:szCs w:val="24"/>
              </w:rPr>
            </w:pPr>
            <w:r>
              <w:rPr>
                <w:rFonts w:hint="eastAsia"/>
                <w:b/>
                <w:bCs/>
                <w:sz w:val="24"/>
                <w:szCs w:val="24"/>
              </w:rPr>
              <w:t>是否要求投标人递交</w:t>
            </w:r>
            <w:r>
              <w:rPr>
                <w:b/>
                <w:bCs/>
                <w:sz w:val="24"/>
                <w:szCs w:val="24"/>
              </w:rPr>
              <w:t>履约保证金</w:t>
            </w:r>
            <w:r>
              <w:rPr>
                <w:rFonts w:hint="eastAsia"/>
                <w:b/>
                <w:bCs/>
                <w:sz w:val="24"/>
                <w:szCs w:val="24"/>
              </w:rPr>
              <w:t>：</w:t>
            </w:r>
          </w:p>
          <w:p>
            <w:pPr>
              <w:ind w:left="0" w:leftChars="0" w:firstLine="0" w:firstLineChars="0"/>
              <w:rPr>
                <w:rFonts w:hint="eastAsia"/>
                <w:b/>
                <w:bCs/>
                <w:sz w:val="24"/>
                <w:szCs w:val="24"/>
              </w:rPr>
            </w:pPr>
            <w:r>
              <w:rPr>
                <w:rFonts w:hint="eastAsia"/>
                <w:b/>
                <w:bCs/>
                <w:sz w:val="24"/>
                <w:szCs w:val="24"/>
              </w:rPr>
              <w:t xml:space="preserve">□不要求 </w:t>
            </w:r>
          </w:p>
          <w:p>
            <w:pPr>
              <w:ind w:left="0" w:leftChars="0" w:firstLine="0" w:firstLineChars="0"/>
              <w:rPr>
                <w:rFonts w:hint="eastAsia"/>
                <w:b/>
                <w:bCs/>
                <w:sz w:val="24"/>
                <w:szCs w:val="24"/>
              </w:rPr>
            </w:pPr>
            <w:r>
              <w:rPr>
                <w:rFonts w:hint="eastAsia" w:ascii="MS Mincho" w:hAnsi="MS Mincho" w:eastAsia="宋体" w:cs="MS Mincho"/>
                <w:sz w:val="24"/>
                <w:szCs w:val="24"/>
                <w:lang w:eastAsia="zh-CN"/>
              </w:rPr>
              <w:t>☑</w:t>
            </w:r>
            <w:r>
              <w:rPr>
                <w:rFonts w:hint="eastAsia"/>
                <w:b/>
                <w:bCs/>
                <w:sz w:val="24"/>
                <w:szCs w:val="24"/>
              </w:rPr>
              <w:t>要求，具体如下：</w:t>
            </w:r>
          </w:p>
          <w:p>
            <w:pPr>
              <w:ind w:left="0" w:leftChars="0" w:firstLine="0" w:firstLineChars="0"/>
              <w:rPr>
                <w:rFonts w:hint="eastAsia"/>
                <w:bCs/>
                <w:sz w:val="24"/>
                <w:szCs w:val="24"/>
              </w:rPr>
            </w:pPr>
            <w:r>
              <w:rPr>
                <w:rFonts w:hint="eastAsia"/>
                <w:bCs/>
                <w:sz w:val="24"/>
                <w:szCs w:val="24"/>
              </w:rPr>
              <w:t>（1）履约保证金金额：</w:t>
            </w:r>
            <w:r>
              <w:rPr>
                <w:rFonts w:hint="eastAsia" w:cs="楷体"/>
                <w:bCs/>
                <w:snapToGrid w:val="0"/>
                <w:kern w:val="0"/>
                <w:sz w:val="24"/>
                <w:szCs w:val="24"/>
              </w:rPr>
              <w:t>中标金</w:t>
            </w:r>
            <w:r>
              <w:rPr>
                <w:rFonts w:hint="eastAsia"/>
                <w:sz w:val="24"/>
                <w:szCs w:val="24"/>
              </w:rPr>
              <w:t xml:space="preserve">额的 </w:t>
            </w:r>
            <w:r>
              <w:rPr>
                <w:rFonts w:hint="eastAsia"/>
                <w:sz w:val="24"/>
                <w:szCs w:val="24"/>
                <w:u w:val="single"/>
              </w:rPr>
              <w:t>2</w:t>
            </w:r>
            <w:r>
              <w:rPr>
                <w:rFonts w:hint="eastAsia"/>
                <w:sz w:val="24"/>
                <w:szCs w:val="24"/>
              </w:rPr>
              <w:t>％</w:t>
            </w:r>
          </w:p>
          <w:p>
            <w:pPr>
              <w:ind w:left="0" w:leftChars="0" w:firstLine="0" w:firstLineChars="0"/>
              <w:rPr>
                <w:rFonts w:hint="eastAsia"/>
                <w:bCs/>
                <w:sz w:val="24"/>
                <w:szCs w:val="24"/>
              </w:rPr>
            </w:pPr>
            <w:r>
              <w:rPr>
                <w:rFonts w:hint="eastAsia"/>
                <w:bCs/>
                <w:sz w:val="24"/>
                <w:szCs w:val="24"/>
              </w:rPr>
              <w:t>（2）履约保证金形式：</w:t>
            </w:r>
          </w:p>
          <w:p>
            <w:pPr>
              <w:ind w:left="0" w:leftChars="0" w:firstLine="0" w:firstLineChars="0"/>
              <w:rPr>
                <w:rFonts w:hint="eastAsia"/>
                <w:bCs/>
                <w:sz w:val="24"/>
                <w:szCs w:val="24"/>
              </w:rPr>
            </w:pPr>
            <w:r>
              <w:rPr>
                <w:rFonts w:hint="eastAsia"/>
                <w:bCs/>
                <w:sz w:val="24"/>
                <w:szCs w:val="24"/>
              </w:rPr>
              <w:sym w:font="Wingdings 2" w:char="0052"/>
            </w:r>
            <w:r>
              <w:rPr>
                <w:rFonts w:hint="eastAsia"/>
                <w:bCs/>
                <w:sz w:val="24"/>
                <w:szCs w:val="24"/>
              </w:rPr>
              <w:t>电子保函</w:t>
            </w:r>
          </w:p>
          <w:p>
            <w:pPr>
              <w:ind w:left="0" w:leftChars="0" w:firstLine="0" w:firstLineChars="0"/>
              <w:rPr>
                <w:rFonts w:hint="eastAsia"/>
                <w:bCs/>
                <w:sz w:val="24"/>
                <w:szCs w:val="24"/>
              </w:rPr>
            </w:pPr>
            <w:r>
              <w:rPr>
                <w:rFonts w:hint="eastAsia"/>
                <w:bCs/>
                <w:sz w:val="24"/>
                <w:szCs w:val="24"/>
              </w:rPr>
              <w:sym w:font="Wingdings 2" w:char="0052"/>
            </w:r>
            <w:r>
              <w:rPr>
                <w:rFonts w:hint="eastAsia"/>
                <w:bCs/>
                <w:sz w:val="24"/>
                <w:szCs w:val="24"/>
              </w:rPr>
              <w:t>现金（银行转账、银行电汇）</w:t>
            </w:r>
          </w:p>
          <w:p>
            <w:pPr>
              <w:ind w:left="0" w:leftChars="0" w:firstLine="0" w:firstLineChars="0"/>
              <w:rPr>
                <w:rFonts w:hint="eastAsia"/>
                <w:bCs/>
                <w:sz w:val="24"/>
                <w:szCs w:val="24"/>
              </w:rPr>
            </w:pPr>
            <w:r>
              <w:rPr>
                <w:rFonts w:hint="eastAsia"/>
                <w:bCs/>
                <w:sz w:val="24"/>
                <w:szCs w:val="24"/>
              </w:rPr>
              <w:sym w:font="Wingdings 2" w:char="0052"/>
            </w:r>
            <w:r>
              <w:rPr>
                <w:rFonts w:hint="eastAsia"/>
                <w:bCs/>
                <w:sz w:val="24"/>
                <w:szCs w:val="24"/>
              </w:rPr>
              <w:t>纸质保函（纸质银行保函、纸质担保机构担保、纸质保证保险）</w:t>
            </w:r>
          </w:p>
          <w:p>
            <w:pPr>
              <w:ind w:left="0" w:leftChars="0" w:firstLine="0" w:firstLineChars="0"/>
              <w:rPr>
                <w:rFonts w:hint="eastAsia"/>
                <w:bCs/>
                <w:sz w:val="24"/>
                <w:szCs w:val="24"/>
              </w:rPr>
            </w:pPr>
            <w:r>
              <w:rPr>
                <w:rFonts w:hint="eastAsia"/>
                <w:bCs/>
                <w:sz w:val="24"/>
                <w:szCs w:val="24"/>
              </w:rPr>
              <w:t>（3）具体要求：</w:t>
            </w:r>
          </w:p>
          <w:p>
            <w:pPr>
              <w:ind w:left="0" w:leftChars="0" w:firstLine="0" w:firstLineChars="0"/>
              <w:rPr>
                <w:rFonts w:hint="eastAsia"/>
                <w:bCs/>
                <w:sz w:val="24"/>
                <w:szCs w:val="24"/>
              </w:rPr>
            </w:pPr>
            <w:r>
              <w:rPr>
                <w:rFonts w:hint="eastAsia"/>
                <w:bCs/>
                <w:sz w:val="24"/>
                <w:szCs w:val="24"/>
              </w:rPr>
              <w:t>①采用</w:t>
            </w:r>
            <w:r>
              <w:rPr>
                <w:rFonts w:hint="eastAsia"/>
                <w:bCs/>
                <w:sz w:val="24"/>
                <w:szCs w:val="24"/>
                <w:lang w:val="en-US" w:eastAsia="zh-CN"/>
              </w:rPr>
              <w:t>纸质</w:t>
            </w:r>
            <w:r>
              <w:rPr>
                <w:rFonts w:hint="eastAsia"/>
                <w:bCs/>
                <w:sz w:val="24"/>
                <w:szCs w:val="24"/>
              </w:rPr>
              <w:t>银行保函的，应为不可撤销、不可转让的见索即付独立保函。</w:t>
            </w:r>
          </w:p>
          <w:p>
            <w:pPr>
              <w:ind w:left="0" w:leftChars="0" w:firstLine="0" w:firstLineChars="0"/>
              <w:rPr>
                <w:rFonts w:hint="eastAsia"/>
                <w:bCs/>
                <w:sz w:val="24"/>
                <w:szCs w:val="24"/>
              </w:rPr>
            </w:pPr>
            <w:r>
              <w:rPr>
                <w:rFonts w:hint="eastAsia"/>
                <w:bCs/>
                <w:sz w:val="24"/>
                <w:szCs w:val="24"/>
              </w:rPr>
              <w:t>②采用</w:t>
            </w:r>
            <w:r>
              <w:rPr>
                <w:rFonts w:hint="eastAsia"/>
                <w:bCs/>
                <w:sz w:val="24"/>
                <w:szCs w:val="24"/>
                <w:lang w:val="en-US" w:eastAsia="zh-CN"/>
              </w:rPr>
              <w:t>纸质</w:t>
            </w:r>
            <w:r>
              <w:rPr>
                <w:rFonts w:hint="eastAsia"/>
                <w:bCs/>
                <w:sz w:val="24"/>
                <w:szCs w:val="24"/>
              </w:rPr>
              <w:t>担保机构担保的，应为经安徽省地方金融监督管理局审查批准，依法取得融资担保业务经营许可证的融资担保机构出具的不可撤销、不可转让的见索即付独立保函。</w:t>
            </w:r>
          </w:p>
          <w:p>
            <w:pPr>
              <w:ind w:left="0" w:leftChars="0" w:firstLine="0" w:firstLineChars="0"/>
              <w:rPr>
                <w:rFonts w:hint="eastAsia"/>
                <w:bCs/>
                <w:sz w:val="24"/>
                <w:szCs w:val="24"/>
              </w:rPr>
            </w:pPr>
            <w:r>
              <w:rPr>
                <w:rFonts w:hint="eastAsia"/>
                <w:bCs/>
                <w:sz w:val="24"/>
                <w:szCs w:val="24"/>
              </w:rPr>
              <w:t>③采用</w:t>
            </w:r>
            <w:r>
              <w:rPr>
                <w:rFonts w:hint="eastAsia"/>
                <w:bCs/>
                <w:sz w:val="24"/>
                <w:szCs w:val="24"/>
                <w:lang w:val="en-US" w:eastAsia="zh-CN"/>
              </w:rPr>
              <w:t>纸质</w:t>
            </w:r>
            <w:r>
              <w:rPr>
                <w:rFonts w:hint="eastAsia"/>
                <w:bCs/>
                <w:sz w:val="24"/>
                <w:szCs w:val="24"/>
              </w:rPr>
              <w:t>保证保险的，应为保险公司出具的不可撤销、不可转让的见索即付保证保险。</w:t>
            </w:r>
          </w:p>
          <w:p>
            <w:pPr>
              <w:ind w:left="0" w:leftChars="0" w:firstLine="0" w:firstLineChars="0"/>
              <w:rPr>
                <w:rFonts w:hint="eastAsia" w:eastAsia="宋体"/>
                <w:bCs/>
                <w:sz w:val="24"/>
                <w:szCs w:val="24"/>
                <w:lang w:val="en-US" w:eastAsia="zh-CN"/>
              </w:rPr>
            </w:pPr>
            <w:r>
              <w:rPr>
                <w:rFonts w:hint="eastAsia"/>
                <w:bCs/>
                <w:sz w:val="24"/>
                <w:szCs w:val="24"/>
                <w:lang w:val="en-US" w:eastAsia="zh-CN"/>
              </w:rPr>
              <w:t>④采用电子保函的，请登录全国公共资源交易平台（安徽省•合肥市）（安徽合肥公共资源交易中心网站）“电子保函”栏目查看《合肥市（信易贷）电子保函平台履约保函操作手册》并按照操作手册规定内容办理。</w:t>
            </w:r>
          </w:p>
          <w:p>
            <w:pPr>
              <w:snapToGrid w:val="0"/>
              <w:ind w:left="0" w:leftChars="0" w:firstLine="0" w:firstLineChars="0"/>
              <w:rPr>
                <w:rFonts w:hint="eastAsia" w:ascii="楷体" w:hAnsi="楷体" w:cs="楷体"/>
                <w:bCs/>
                <w:snapToGrid w:val="0"/>
                <w:kern w:val="0"/>
                <w:sz w:val="24"/>
                <w:szCs w:val="24"/>
              </w:rPr>
            </w:pPr>
            <w:r>
              <w:rPr>
                <w:rFonts w:hint="eastAsia" w:ascii="楷体" w:hAnsi="楷体" w:cs="楷体"/>
                <w:bCs/>
                <w:snapToGrid w:val="0"/>
                <w:kern w:val="0"/>
                <w:sz w:val="24"/>
                <w:szCs w:val="24"/>
              </w:rPr>
              <w:t>（4）本招标项目是否减免履约保证金：</w:t>
            </w:r>
          </w:p>
          <w:p>
            <w:pPr>
              <w:snapToGrid w:val="0"/>
              <w:ind w:left="0" w:leftChars="0" w:firstLine="0" w:firstLineChars="0"/>
              <w:rPr>
                <w:rFonts w:hint="eastAsia" w:ascii="楷体" w:hAnsi="楷体" w:cs="楷体"/>
                <w:bCs/>
                <w:snapToGrid w:val="0"/>
                <w:kern w:val="0"/>
                <w:sz w:val="24"/>
                <w:szCs w:val="24"/>
              </w:rPr>
            </w:pPr>
            <w:r>
              <w:rPr>
                <w:rFonts w:hint="eastAsia" w:ascii="楷体" w:hAnsi="楷体" w:cs="楷体"/>
                <w:bCs/>
                <w:snapToGrid w:val="0"/>
                <w:kern w:val="0"/>
                <w:sz w:val="24"/>
                <w:szCs w:val="24"/>
              </w:rPr>
              <w:sym w:font="Wingdings 2" w:char="0052"/>
            </w:r>
            <w:r>
              <w:rPr>
                <w:rFonts w:hint="eastAsia" w:ascii="楷体" w:hAnsi="楷体" w:cs="楷体"/>
                <w:bCs/>
                <w:snapToGrid w:val="0"/>
                <w:kern w:val="0"/>
                <w:sz w:val="24"/>
                <w:szCs w:val="24"/>
              </w:rPr>
              <w:t>不减免</w:t>
            </w:r>
          </w:p>
          <w:p>
            <w:pPr>
              <w:snapToGrid w:val="0"/>
              <w:ind w:left="0" w:leftChars="0" w:firstLine="0" w:firstLineChars="0"/>
              <w:rPr>
                <w:rFonts w:hint="eastAsia" w:ascii="楷体" w:hAnsi="楷体" w:cs="楷体"/>
                <w:bCs/>
                <w:snapToGrid w:val="0"/>
                <w:kern w:val="0"/>
                <w:sz w:val="24"/>
                <w:szCs w:val="24"/>
                <w:u w:val="single"/>
              </w:rPr>
            </w:pPr>
            <w:r>
              <w:rPr>
                <w:rFonts w:hint="eastAsia" w:ascii="楷体" w:hAnsi="楷体" w:cs="楷体"/>
                <w:bCs/>
                <w:snapToGrid w:val="0"/>
                <w:kern w:val="0"/>
                <w:sz w:val="24"/>
                <w:szCs w:val="24"/>
              </w:rPr>
              <w:sym w:font="Wingdings 2" w:char="00A3"/>
            </w:r>
            <w:r>
              <w:rPr>
                <w:rFonts w:hint="eastAsia" w:ascii="楷体" w:hAnsi="楷体" w:cs="楷体"/>
                <w:bCs/>
                <w:snapToGrid w:val="0"/>
                <w:kern w:val="0"/>
                <w:sz w:val="24"/>
                <w:szCs w:val="24"/>
              </w:rPr>
              <w:t>减免，适用减免履约保证金的情形：</w:t>
            </w:r>
            <w:r>
              <w:rPr>
                <w:rFonts w:hint="eastAsia" w:ascii="楷体" w:hAnsi="楷体" w:cs="楷体"/>
                <w:bCs/>
                <w:snapToGrid w:val="0"/>
                <w:kern w:val="0"/>
                <w:sz w:val="24"/>
                <w:szCs w:val="24"/>
                <w:u w:val="single"/>
              </w:rPr>
              <w:t xml:space="preserve">   /   </w:t>
            </w:r>
          </w:p>
          <w:p>
            <w:pPr>
              <w:snapToGrid w:val="0"/>
              <w:ind w:left="0" w:leftChars="0" w:firstLine="0" w:firstLineChars="0"/>
              <w:rPr>
                <w:sz w:val="24"/>
              </w:rPr>
            </w:pPr>
            <w:r>
              <w:rPr>
                <w:rFonts w:hint="eastAsia" w:ascii="楷体" w:hAnsi="楷体" w:cs="楷体"/>
                <w:bCs/>
                <w:snapToGrid w:val="0"/>
                <w:kern w:val="0"/>
                <w:sz w:val="24"/>
                <w:szCs w:val="24"/>
              </w:rPr>
              <w:t>（5）其他要求：</w:t>
            </w:r>
            <w:r>
              <w:rPr>
                <w:rFonts w:hint="eastAsia" w:ascii="楷体" w:hAnsi="楷体" w:cs="楷体"/>
                <w:bCs/>
                <w:snapToGrid w:val="0"/>
                <w:kern w:val="0"/>
                <w:sz w:val="24"/>
                <w:szCs w:val="24"/>
                <w:u w:val="single"/>
              </w:rPr>
              <w:t>如</w:t>
            </w:r>
            <w:r>
              <w:rPr>
                <w:rFonts w:hint="eastAsia"/>
                <w:bCs/>
                <w:sz w:val="24"/>
                <w:szCs w:val="24"/>
                <w:u w:val="single"/>
              </w:rPr>
              <w:t>投标人采用现金（银行转账银行电汇）形式提交履约保证金的，同时退还银行同期活期存款利息。</w:t>
            </w:r>
          </w:p>
        </w:tc>
      </w:tr>
      <w:tr>
        <w:tblPrEx>
          <w:tblCellMar>
            <w:top w:w="0" w:type="dxa"/>
            <w:left w:w="108" w:type="dxa"/>
            <w:bottom w:w="0" w:type="dxa"/>
            <w:right w:w="108" w:type="dxa"/>
          </w:tblCellMar>
        </w:tblPrEx>
        <w:tc>
          <w:tcPr>
            <w:tcW w:w="88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0" w:firstLineChars="0"/>
              <w:rPr>
                <w:sz w:val="24"/>
              </w:rPr>
            </w:pPr>
            <w:r>
              <w:rPr>
                <w:rFonts w:hint="eastAsia"/>
                <w:sz w:val="24"/>
              </w:rPr>
              <w:t>10需要补充的其他内容</w:t>
            </w:r>
          </w:p>
        </w:tc>
      </w:tr>
      <w:tr>
        <w:tblPrEx>
          <w:tblCellMar>
            <w:top w:w="0" w:type="dxa"/>
            <w:left w:w="108" w:type="dxa"/>
            <w:bottom w:w="0" w:type="dxa"/>
            <w:right w:w="108" w:type="dxa"/>
          </w:tblCellMar>
        </w:tblPrEx>
        <w:trPr>
          <w:trHeight w:val="648"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1</w:t>
            </w:r>
            <w:r>
              <w:rPr>
                <w:sz w:val="24"/>
              </w:rPr>
              <w:t>0.1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获取与查看通知</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本项目的招标文件、工程量清单、最高投标限价、澄清及修改等相关资料均通过电子服务系统发布，投标人应自行下载。投标人应当及时登录电子服务系统查看。</w:t>
            </w:r>
          </w:p>
        </w:tc>
      </w:tr>
      <w:tr>
        <w:tblPrEx>
          <w:tblCellMar>
            <w:top w:w="0" w:type="dxa"/>
            <w:left w:w="108" w:type="dxa"/>
            <w:bottom w:w="0" w:type="dxa"/>
            <w:right w:w="108" w:type="dxa"/>
          </w:tblCellMar>
        </w:tblPrEx>
        <w:trPr>
          <w:trHeight w:val="648"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10.2</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电子招标</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本招标项目</w:t>
            </w:r>
            <w:r>
              <w:rPr>
                <w:sz w:val="24"/>
              </w:rPr>
              <w:t>实行全流程电子化交易，除招标文件另有规定外，电子招标投标操作要求见本章附件《合肥市公共资源交易电子招标投标操作规程》。</w:t>
            </w:r>
          </w:p>
        </w:tc>
      </w:tr>
      <w:tr>
        <w:tblPrEx>
          <w:tblCellMar>
            <w:top w:w="0" w:type="dxa"/>
            <w:left w:w="108" w:type="dxa"/>
            <w:bottom w:w="0" w:type="dxa"/>
            <w:right w:w="108" w:type="dxa"/>
          </w:tblCellMar>
        </w:tblPrEx>
        <w:trPr>
          <w:trHeight w:val="648"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10.3</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相关政策要求</w:t>
            </w:r>
          </w:p>
        </w:tc>
        <w:tc>
          <w:tcPr>
            <w:tcW w:w="533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sz w:val="24"/>
              </w:rPr>
            </w:pPr>
            <w:r>
              <w:rPr>
                <w:rFonts w:hint="eastAsia"/>
                <w:sz w:val="24"/>
              </w:rPr>
              <w:t>（1）</w:t>
            </w:r>
            <w:r>
              <w:rPr>
                <w:sz w:val="24"/>
              </w:rPr>
              <w:t>投标人对招标文件、开标过程、评标结果有异议的，须按招标文件要求的时间及形式向招标人、招标代理机构一次性提出，否则不予受理。</w:t>
            </w:r>
          </w:p>
          <w:p>
            <w:pPr>
              <w:widowControl/>
              <w:snapToGrid w:val="0"/>
              <w:ind w:firstLine="0" w:firstLineChars="0"/>
              <w:jc w:val="left"/>
              <w:rPr>
                <w:bCs/>
                <w:snapToGrid w:val="0"/>
                <w:kern w:val="0"/>
                <w:sz w:val="24"/>
              </w:rPr>
            </w:pPr>
            <w:r>
              <w:rPr>
                <w:rFonts w:hint="eastAsia"/>
                <w:bCs/>
                <w:snapToGrid w:val="0"/>
                <w:kern w:val="0"/>
                <w:sz w:val="24"/>
              </w:rPr>
              <w:t>（2）</w:t>
            </w:r>
            <w:r>
              <w:rPr>
                <w:rFonts w:hint="eastAsia" w:ascii="宋体" w:hAnsi="宋体"/>
                <w:sz w:val="24"/>
              </w:rPr>
              <w:t>承包人在工程实施过程中用工行为，必须严格执行国家及地方政府的有关规定，依法签订劳动合同，并按规定及时足额支付工资。承包人必须在合肥市市域范围内银行设立农民工工资专用账户，专户资金使用、监管严格按照《工程建设领域农民工工资专用账户管理暂行办法》</w:t>
            </w:r>
            <w:r>
              <w:rPr>
                <w:rFonts w:hint="eastAsia"/>
                <w:bCs/>
                <w:snapToGrid w:val="0"/>
                <w:kern w:val="0"/>
                <w:sz w:val="24"/>
                <w:szCs w:val="24"/>
              </w:rPr>
              <w:t>（人社部发〔2021〕53 号）</w:t>
            </w:r>
            <w:r>
              <w:rPr>
                <w:rFonts w:hint="eastAsia" w:ascii="宋体" w:hAnsi="宋体"/>
                <w:sz w:val="24"/>
              </w:rPr>
              <w:t>执行。本工程</w:t>
            </w:r>
            <w:r>
              <w:rPr>
                <w:rFonts w:hint="eastAsia" w:ascii="宋体" w:hAnsi="宋体"/>
                <w:sz w:val="24"/>
                <w:lang w:val="en-US" w:eastAsia="zh-CN"/>
              </w:rPr>
              <w:t>最高投标限价</w:t>
            </w:r>
            <w:r>
              <w:rPr>
                <w:rFonts w:hint="eastAsia" w:ascii="宋体" w:hAnsi="宋体"/>
                <w:sz w:val="24"/>
              </w:rPr>
              <w:t>已按安徽省交通运输厅文件《关于调整安徽省公路工程人工费标准的通知》皖交建管函〔</w:t>
            </w:r>
            <w:r>
              <w:rPr>
                <w:rFonts w:ascii="宋体" w:hAnsi="宋体"/>
                <w:sz w:val="24"/>
              </w:rPr>
              <w:t>2019</w:t>
            </w:r>
            <w:r>
              <w:rPr>
                <w:rFonts w:hint="eastAsia" w:ascii="宋体" w:hAnsi="宋体"/>
                <w:sz w:val="24"/>
              </w:rPr>
              <w:t>〕</w:t>
            </w:r>
            <w:r>
              <w:rPr>
                <w:rFonts w:ascii="宋体" w:hAnsi="宋体"/>
                <w:sz w:val="24"/>
              </w:rPr>
              <w:t xml:space="preserve">210 </w:t>
            </w:r>
            <w:r>
              <w:rPr>
                <w:rFonts w:hint="eastAsia" w:ascii="宋体" w:hAnsi="宋体"/>
                <w:sz w:val="24"/>
              </w:rPr>
              <w:t>号规定列出，其费用作为不可竞争费，投标人应在投标报价综合考虑，无需单独列出，中标后按上述文件规定办理相关专户设立、工资支付等事宜。</w:t>
            </w:r>
          </w:p>
          <w:p>
            <w:pPr>
              <w:widowControl/>
              <w:snapToGrid w:val="0"/>
              <w:ind w:firstLine="0" w:firstLineChars="0"/>
              <w:jc w:val="left"/>
              <w:rPr>
                <w:bCs/>
                <w:snapToGrid w:val="0"/>
                <w:kern w:val="0"/>
                <w:sz w:val="24"/>
              </w:rPr>
            </w:pPr>
            <w:r>
              <w:rPr>
                <w:rFonts w:hint="eastAsia"/>
                <w:bCs/>
                <w:snapToGrid w:val="0"/>
                <w:kern w:val="0"/>
                <w:sz w:val="24"/>
              </w:rPr>
              <w:t>（3）注册地不在合肥市行政区域范围（含四县一市）的中标人，应按照《纳税人跨县（市、区）提供建筑服务增值税征收管理暂行办法》（国家税务总局公告2016年第17号）规定，在建筑服务发生地及时足额预缴增值税。</w:t>
            </w:r>
          </w:p>
          <w:p>
            <w:pPr>
              <w:widowControl/>
              <w:snapToGrid w:val="0"/>
              <w:ind w:firstLine="0" w:firstLineChars="0"/>
              <w:jc w:val="left"/>
              <w:rPr>
                <w:bCs/>
                <w:snapToGrid w:val="0"/>
                <w:kern w:val="0"/>
                <w:sz w:val="24"/>
              </w:rPr>
            </w:pPr>
            <w:r>
              <w:rPr>
                <w:rFonts w:hint="eastAsia"/>
                <w:bCs/>
                <w:snapToGrid w:val="0"/>
                <w:kern w:val="0"/>
                <w:sz w:val="24"/>
              </w:rPr>
              <w:t>（4）工程质量保证金执行《关于以保函等方式替代工程质量保证金的通知》（合建〔2020〕29号文件）。</w:t>
            </w:r>
          </w:p>
          <w:p>
            <w:pPr>
              <w:widowControl/>
              <w:snapToGrid w:val="0"/>
              <w:ind w:firstLine="0" w:firstLineChars="0"/>
              <w:jc w:val="left"/>
              <w:rPr>
                <w:b/>
                <w:bCs/>
                <w:snapToGrid w:val="0"/>
                <w:kern w:val="0"/>
                <w:sz w:val="24"/>
              </w:rPr>
            </w:pPr>
            <w:r>
              <w:rPr>
                <w:rFonts w:hint="eastAsia"/>
                <w:b/>
                <w:bCs/>
                <w:snapToGrid w:val="0"/>
                <w:kern w:val="0"/>
                <w:sz w:val="24"/>
              </w:rPr>
              <w:t>（5）农民工工资保证金保函严格执行转发《关于印发〈安徽省工程建设领域农民工工资保证金实施办法〉的通知》 的通知（合治欠办〔2022〕5号），支持以银行保函、保险机构保单保函方式存储。</w:t>
            </w:r>
          </w:p>
          <w:p>
            <w:pPr>
              <w:widowControl/>
              <w:snapToGrid w:val="0"/>
              <w:ind w:firstLine="0" w:firstLineChars="0"/>
              <w:jc w:val="left"/>
              <w:rPr>
                <w:bCs/>
                <w:snapToGrid w:val="0"/>
                <w:kern w:val="0"/>
                <w:sz w:val="24"/>
              </w:rPr>
            </w:pPr>
            <w:r>
              <w:rPr>
                <w:rFonts w:hint="eastAsia"/>
                <w:bCs/>
                <w:snapToGrid w:val="0"/>
                <w:kern w:val="0"/>
                <w:sz w:val="24"/>
              </w:rPr>
              <w:t>（6）劳资专管员执行《关于加强建设领域劳资专管员管理工作的通知》（合治欠发〔2021〕6号文件）。</w:t>
            </w:r>
          </w:p>
          <w:p>
            <w:pPr>
              <w:widowControl/>
              <w:snapToGrid w:val="0"/>
              <w:ind w:firstLine="0" w:firstLineChars="0"/>
              <w:jc w:val="left"/>
              <w:rPr>
                <w:bCs/>
                <w:snapToGrid w:val="0"/>
                <w:kern w:val="0"/>
                <w:sz w:val="24"/>
              </w:rPr>
            </w:pPr>
            <w:r>
              <w:rPr>
                <w:rFonts w:hint="eastAsia"/>
                <w:bCs/>
                <w:snapToGrid w:val="0"/>
                <w:kern w:val="0"/>
                <w:sz w:val="24"/>
              </w:rPr>
              <w:t>（7）投标保证金、履约保证金、工程质量保证金按《关于加快推进房屋建筑和市政基础设施工程实行工程担保制度的通知》（建市〔202</w:t>
            </w:r>
            <w:r>
              <w:rPr>
                <w:rFonts w:hint="eastAsia"/>
                <w:bCs/>
                <w:snapToGrid w:val="0"/>
                <w:kern w:val="0"/>
                <w:sz w:val="24"/>
                <w:lang w:val="en-US" w:eastAsia="zh-CN"/>
              </w:rPr>
              <w:t>0</w:t>
            </w:r>
            <w:r>
              <w:rPr>
                <w:rFonts w:hint="eastAsia"/>
                <w:bCs/>
                <w:snapToGrid w:val="0"/>
                <w:kern w:val="0"/>
                <w:sz w:val="24"/>
              </w:rPr>
              <w:t>〕84号文件）执行。</w:t>
            </w:r>
          </w:p>
          <w:p>
            <w:pPr>
              <w:widowControl/>
              <w:snapToGrid w:val="0"/>
              <w:ind w:firstLine="0" w:firstLineChars="0"/>
              <w:jc w:val="left"/>
              <w:rPr>
                <w:bCs/>
                <w:snapToGrid w:val="0"/>
                <w:kern w:val="0"/>
                <w:sz w:val="24"/>
              </w:rPr>
            </w:pPr>
            <w:r>
              <w:rPr>
                <w:rFonts w:hint="eastAsia"/>
                <w:bCs/>
                <w:snapToGrid w:val="0"/>
                <w:kern w:val="0"/>
                <w:sz w:val="24"/>
              </w:rPr>
              <w:t>（</w:t>
            </w:r>
            <w:r>
              <w:rPr>
                <w:rFonts w:hint="eastAsia"/>
                <w:bCs/>
                <w:snapToGrid w:val="0"/>
                <w:kern w:val="0"/>
                <w:sz w:val="24"/>
                <w:lang w:val="en-US" w:eastAsia="zh-CN"/>
              </w:rPr>
              <w:t>8</w:t>
            </w:r>
            <w:r>
              <w:rPr>
                <w:rFonts w:hint="eastAsia"/>
                <w:bCs/>
                <w:snapToGrid w:val="0"/>
                <w:kern w:val="0"/>
                <w:sz w:val="24"/>
              </w:rPr>
              <w:t>）保证保险产品应按《中国银保监会办公厅关于进一步加强和改进财产保险公司产品监管有关问题的通知》执行。</w:t>
            </w:r>
          </w:p>
          <w:p>
            <w:pPr>
              <w:widowControl/>
              <w:snapToGrid w:val="0"/>
              <w:ind w:firstLine="0" w:firstLineChars="0"/>
              <w:jc w:val="left"/>
              <w:rPr>
                <w:bCs/>
                <w:snapToGrid w:val="0"/>
                <w:kern w:val="0"/>
                <w:sz w:val="24"/>
              </w:rPr>
            </w:pPr>
            <w:r>
              <w:rPr>
                <w:rFonts w:hint="eastAsia"/>
                <w:bCs/>
                <w:snapToGrid w:val="0"/>
                <w:kern w:val="0"/>
                <w:sz w:val="24"/>
              </w:rPr>
              <w:t>（</w:t>
            </w:r>
            <w:r>
              <w:rPr>
                <w:rFonts w:hint="eastAsia"/>
                <w:bCs/>
                <w:snapToGrid w:val="0"/>
                <w:kern w:val="0"/>
                <w:sz w:val="24"/>
                <w:lang w:val="en-US" w:eastAsia="zh-CN"/>
              </w:rPr>
              <w:t>9</w:t>
            </w:r>
            <w:r>
              <w:rPr>
                <w:rFonts w:hint="eastAsia"/>
                <w:bCs/>
                <w:snapToGrid w:val="0"/>
                <w:kern w:val="0"/>
                <w:sz w:val="24"/>
              </w:rPr>
              <w:t>）工程建设领域农民工工资专用账户执行安徽省人社厅等部门印发的《贯彻落实〈工程建设领域农民工工资专用账户管理暂行办法〉的通知》（皖人社发〔2022〕5号）及《贯彻落实</w:t>
            </w:r>
            <w:r>
              <w:rPr>
                <w:bCs/>
                <w:snapToGrid w:val="0"/>
                <w:kern w:val="0"/>
                <w:sz w:val="24"/>
              </w:rPr>
              <w:t>&lt;</w:t>
            </w:r>
            <w:r>
              <w:rPr>
                <w:rFonts w:hint="eastAsia"/>
                <w:bCs/>
                <w:snapToGrid w:val="0"/>
                <w:kern w:val="0"/>
                <w:sz w:val="24"/>
              </w:rPr>
              <w:t>工程建设领域农民工工资专用账户管理暂行办法</w:t>
            </w:r>
            <w:r>
              <w:rPr>
                <w:bCs/>
                <w:snapToGrid w:val="0"/>
                <w:kern w:val="0"/>
                <w:sz w:val="24"/>
              </w:rPr>
              <w:t>&gt;</w:t>
            </w:r>
            <w:r>
              <w:rPr>
                <w:rFonts w:hint="eastAsia"/>
                <w:bCs/>
                <w:snapToGrid w:val="0"/>
                <w:kern w:val="0"/>
                <w:sz w:val="24"/>
              </w:rPr>
              <w:t>的通知》的通知（合治欠办〔</w:t>
            </w:r>
            <w:r>
              <w:rPr>
                <w:bCs/>
                <w:snapToGrid w:val="0"/>
                <w:kern w:val="0"/>
                <w:sz w:val="24"/>
              </w:rPr>
              <w:t>2022</w:t>
            </w:r>
            <w:r>
              <w:rPr>
                <w:rFonts w:hint="eastAsia"/>
                <w:bCs/>
                <w:snapToGrid w:val="0"/>
                <w:kern w:val="0"/>
                <w:sz w:val="24"/>
              </w:rPr>
              <w:t>〕</w:t>
            </w:r>
            <w:r>
              <w:rPr>
                <w:bCs/>
                <w:snapToGrid w:val="0"/>
                <w:kern w:val="0"/>
                <w:sz w:val="24"/>
              </w:rPr>
              <w:t xml:space="preserve">7 </w:t>
            </w:r>
            <w:r>
              <w:rPr>
                <w:rFonts w:hint="eastAsia"/>
                <w:bCs/>
                <w:snapToGrid w:val="0"/>
                <w:kern w:val="0"/>
                <w:sz w:val="24"/>
              </w:rPr>
              <w:t>号）。</w:t>
            </w:r>
          </w:p>
          <w:p>
            <w:pPr>
              <w:spacing w:line="400" w:lineRule="atLeast"/>
              <w:ind w:firstLine="0" w:firstLineChars="0"/>
              <w:rPr>
                <w:sz w:val="24"/>
              </w:rPr>
            </w:pPr>
            <w:r>
              <w:rPr>
                <w:rFonts w:hint="eastAsia"/>
                <w:bCs/>
                <w:snapToGrid w:val="0"/>
                <w:kern w:val="0"/>
                <w:sz w:val="24"/>
              </w:rPr>
              <w:t>（1</w:t>
            </w:r>
            <w:r>
              <w:rPr>
                <w:rFonts w:hint="eastAsia"/>
                <w:bCs/>
                <w:snapToGrid w:val="0"/>
                <w:kern w:val="0"/>
                <w:sz w:val="24"/>
                <w:lang w:val="en-US" w:eastAsia="zh-CN"/>
              </w:rPr>
              <w:t>0</w:t>
            </w:r>
            <w:r>
              <w:rPr>
                <w:rFonts w:hint="eastAsia"/>
                <w:bCs/>
                <w:snapToGrid w:val="0"/>
                <w:kern w:val="0"/>
                <w:sz w:val="24"/>
              </w:rPr>
              <w:t>）</w:t>
            </w:r>
            <w:r>
              <w:rPr>
                <w:sz w:val="24"/>
              </w:rPr>
              <w:t>省外建设工程企业按照《关于优化进皖建设工程企业信息登记服务和管理有关工作的通知》（建市函〔2022〕580 号）进行相关信息登记。</w:t>
            </w:r>
          </w:p>
          <w:p>
            <w:pPr>
              <w:spacing w:line="400" w:lineRule="atLeast"/>
              <w:ind w:firstLine="0" w:firstLineChars="0"/>
              <w:rPr>
                <w:bCs/>
                <w:snapToGrid w:val="0"/>
                <w:kern w:val="0"/>
                <w:sz w:val="24"/>
              </w:rPr>
            </w:pPr>
            <w:r>
              <w:rPr>
                <w:rFonts w:hint="eastAsia"/>
                <w:sz w:val="24"/>
              </w:rPr>
              <w:t>（1</w:t>
            </w:r>
            <w:r>
              <w:rPr>
                <w:rFonts w:hint="eastAsia"/>
                <w:sz w:val="24"/>
                <w:lang w:val="en-US" w:eastAsia="zh-CN"/>
              </w:rPr>
              <w:t>1</w:t>
            </w:r>
            <w:r>
              <w:rPr>
                <w:rFonts w:hint="eastAsia"/>
                <w:sz w:val="24"/>
              </w:rPr>
              <w:t>）</w:t>
            </w:r>
            <w:r>
              <w:rPr>
                <w:rFonts w:hint="eastAsia"/>
                <w:bCs/>
                <w:snapToGrid w:val="0"/>
                <w:kern w:val="0"/>
                <w:sz w:val="24"/>
              </w:rPr>
              <w:t>本项目工程量清单及最高投标限价中所有涉及要求提供第三方检测报告、认证、原厂盖章等证明材料的，投标时无需提供，标后招标人有权要求中标人提供（如有）。</w:t>
            </w:r>
          </w:p>
          <w:p>
            <w:pPr>
              <w:widowControl/>
              <w:snapToGrid w:val="0"/>
              <w:ind w:firstLine="0" w:firstLineChars="0"/>
              <w:jc w:val="left"/>
              <w:rPr>
                <w:rFonts w:hint="eastAsia"/>
                <w:b w:val="0"/>
                <w:bCs/>
                <w:snapToGrid w:val="0"/>
                <w:kern w:val="0"/>
                <w:sz w:val="24"/>
                <w:highlight w:val="none"/>
              </w:rPr>
            </w:pPr>
            <w:r>
              <w:rPr>
                <w:rFonts w:hint="eastAsia"/>
                <w:b w:val="0"/>
                <w:bCs/>
                <w:snapToGrid w:val="0"/>
                <w:kern w:val="0"/>
                <w:sz w:val="24"/>
                <w:highlight w:val="none"/>
              </w:rPr>
              <w:t>（1</w:t>
            </w:r>
            <w:r>
              <w:rPr>
                <w:rFonts w:hint="eastAsia"/>
                <w:b w:val="0"/>
                <w:bCs/>
                <w:snapToGrid w:val="0"/>
                <w:kern w:val="0"/>
                <w:sz w:val="24"/>
                <w:highlight w:val="none"/>
                <w:lang w:val="en-US" w:eastAsia="zh-CN"/>
              </w:rPr>
              <w:t>2</w:t>
            </w:r>
            <w:r>
              <w:rPr>
                <w:rFonts w:hint="eastAsia"/>
                <w:b w:val="0"/>
                <w:bCs/>
                <w:snapToGrid w:val="0"/>
                <w:kern w:val="0"/>
                <w:sz w:val="24"/>
                <w:highlight w:val="none"/>
              </w:rPr>
              <w:t>）为切实保障建筑行业农民工工资支付、加快培育新时代建筑产业工人队伍、有效破解拖欠工程款问题，严格执行《关于建立长效机制切实保障建筑行业农民工工资支付工作的通知》（建市函〔2022〕490号），《关于加快培育和壮大我省建筑产业工人队伍的意见》（建市规〔2023〕1号）。</w:t>
            </w:r>
          </w:p>
          <w:p>
            <w:pPr>
              <w:widowControl/>
              <w:snapToGrid w:val="0"/>
              <w:ind w:left="0" w:leftChars="0" w:firstLine="0" w:firstLineChars="0"/>
              <w:jc w:val="left"/>
              <w:rPr>
                <w:rFonts w:hint="eastAsia"/>
                <w:b w:val="0"/>
                <w:bCs/>
                <w:snapToGrid w:val="0"/>
                <w:kern w:val="0"/>
                <w:sz w:val="24"/>
                <w:szCs w:val="24"/>
                <w:highlight w:val="none"/>
              </w:rPr>
            </w:pPr>
            <w:r>
              <w:rPr>
                <w:rFonts w:hint="eastAsia"/>
                <w:b w:val="0"/>
                <w:bCs/>
                <w:snapToGrid w:val="0"/>
                <w:kern w:val="0"/>
                <w:sz w:val="24"/>
                <w:szCs w:val="24"/>
                <w:highlight w:val="none"/>
              </w:rPr>
              <w:t>（1</w:t>
            </w:r>
            <w:r>
              <w:rPr>
                <w:rFonts w:hint="eastAsia"/>
                <w:b w:val="0"/>
                <w:bCs/>
                <w:snapToGrid w:val="0"/>
                <w:kern w:val="0"/>
                <w:sz w:val="24"/>
                <w:szCs w:val="24"/>
                <w:highlight w:val="none"/>
                <w:lang w:val="en-US" w:eastAsia="zh-CN"/>
              </w:rPr>
              <w:t>3</w:t>
            </w:r>
            <w:r>
              <w:rPr>
                <w:rFonts w:hint="eastAsia"/>
                <w:b w:val="0"/>
                <w:bCs/>
                <w:snapToGrid w:val="0"/>
                <w:kern w:val="0"/>
                <w:sz w:val="24"/>
                <w:szCs w:val="24"/>
                <w:highlight w:val="none"/>
              </w:rPr>
              <w:t>）采用一级建造师投标的应按《住房和城乡建设部办公厅关于全面实行一级建造师电子注册证书的通知》(建办市〔2021〕40号)执行。</w:t>
            </w:r>
          </w:p>
          <w:p>
            <w:pPr>
              <w:widowControl/>
              <w:snapToGrid w:val="0"/>
              <w:ind w:left="0" w:leftChars="0" w:firstLine="0" w:firstLineChars="0"/>
              <w:jc w:val="left"/>
              <w:rPr>
                <w:rFonts w:hint="eastAsia" w:ascii="Times New Roman" w:hAnsi="Times New Roman" w:eastAsia="宋体" w:cs="Times New Roman"/>
                <w:b w:val="0"/>
                <w:bCs/>
                <w:snapToGrid w:val="0"/>
                <w:kern w:val="0"/>
                <w:sz w:val="24"/>
                <w:szCs w:val="24"/>
                <w:highlight w:val="none"/>
              </w:rPr>
            </w:pPr>
            <w:r>
              <w:rPr>
                <w:rFonts w:hint="eastAsia" w:ascii="Times New Roman" w:hAnsi="Times New Roman" w:eastAsia="宋体" w:cs="Times New Roman"/>
                <w:b w:val="0"/>
                <w:bCs/>
                <w:snapToGrid w:val="0"/>
                <w:kern w:val="0"/>
                <w:sz w:val="24"/>
                <w:szCs w:val="24"/>
                <w:highlight w:val="none"/>
              </w:rPr>
              <w:t>（1</w:t>
            </w:r>
            <w:r>
              <w:rPr>
                <w:rFonts w:hint="eastAsia" w:cs="Times New Roman"/>
                <w:b w:val="0"/>
                <w:bCs/>
                <w:snapToGrid w:val="0"/>
                <w:kern w:val="0"/>
                <w:sz w:val="24"/>
                <w:szCs w:val="24"/>
                <w:highlight w:val="none"/>
                <w:lang w:val="en-US" w:eastAsia="zh-CN"/>
              </w:rPr>
              <w:t>4</w:t>
            </w:r>
            <w:r>
              <w:rPr>
                <w:rFonts w:hint="eastAsia" w:ascii="Times New Roman" w:hAnsi="Times New Roman" w:eastAsia="宋体" w:cs="Times New Roman"/>
                <w:b w:val="0"/>
                <w:bCs/>
                <w:snapToGrid w:val="0"/>
                <w:kern w:val="0"/>
                <w:sz w:val="24"/>
                <w:szCs w:val="24"/>
                <w:highlight w:val="none"/>
              </w:rPr>
              <w:t>）采用安徽省二级建造师投标的应按《关于加强二级建造师事中事后监管工作的通知》（建市函〔2024〕137号）执行。</w:t>
            </w:r>
          </w:p>
          <w:p>
            <w:pPr>
              <w:widowControl/>
              <w:snapToGrid w:val="0"/>
              <w:ind w:left="0" w:leftChars="0" w:firstLine="0" w:firstLineChars="0"/>
              <w:jc w:val="left"/>
              <w:rPr>
                <w:rFonts w:hint="eastAsia" w:ascii="Times New Roman" w:hAnsi="Times New Roman" w:eastAsia="宋体" w:cs="Times New Roman"/>
                <w:b w:val="0"/>
                <w:bCs/>
                <w:snapToGrid w:val="0"/>
                <w:kern w:val="0"/>
                <w:sz w:val="24"/>
                <w:szCs w:val="24"/>
                <w:highlight w:val="none"/>
                <w:lang w:eastAsia="zh-CN"/>
              </w:rPr>
            </w:pPr>
            <w:r>
              <w:rPr>
                <w:rFonts w:hint="eastAsia" w:ascii="Times New Roman" w:hAnsi="Times New Roman" w:eastAsia="宋体" w:cs="Times New Roman"/>
                <w:b w:val="0"/>
                <w:bCs/>
                <w:snapToGrid w:val="0"/>
                <w:kern w:val="0"/>
                <w:sz w:val="24"/>
                <w:szCs w:val="24"/>
                <w:highlight w:val="none"/>
                <w:lang w:eastAsia="zh-CN"/>
              </w:rPr>
              <w:t>（</w:t>
            </w:r>
            <w:r>
              <w:rPr>
                <w:rFonts w:hint="eastAsia" w:ascii="Times New Roman" w:hAnsi="Times New Roman" w:eastAsia="宋体" w:cs="Times New Roman"/>
                <w:b w:val="0"/>
                <w:bCs/>
                <w:snapToGrid w:val="0"/>
                <w:kern w:val="0"/>
                <w:sz w:val="24"/>
                <w:szCs w:val="24"/>
                <w:highlight w:val="none"/>
                <w:lang w:val="en-US" w:eastAsia="zh-CN"/>
              </w:rPr>
              <w:t>1</w:t>
            </w:r>
            <w:r>
              <w:rPr>
                <w:rFonts w:hint="eastAsia" w:cs="Times New Roman"/>
                <w:b w:val="0"/>
                <w:bCs/>
                <w:snapToGrid w:val="0"/>
                <w:kern w:val="0"/>
                <w:sz w:val="24"/>
                <w:szCs w:val="24"/>
                <w:highlight w:val="none"/>
                <w:lang w:val="en-US" w:eastAsia="zh-CN"/>
              </w:rPr>
              <w:t>5</w:t>
            </w:r>
            <w:r>
              <w:rPr>
                <w:rFonts w:hint="eastAsia" w:ascii="Times New Roman" w:hAnsi="Times New Roman" w:eastAsia="宋体" w:cs="Times New Roman"/>
                <w:b w:val="0"/>
                <w:bCs/>
                <w:snapToGrid w:val="0"/>
                <w:kern w:val="0"/>
                <w:sz w:val="24"/>
                <w:szCs w:val="24"/>
                <w:highlight w:val="none"/>
                <w:lang w:eastAsia="zh-CN"/>
              </w:rPr>
              <w:t>）投标保证金、履约保证金、预付款担保、质量</w:t>
            </w:r>
          </w:p>
          <w:p>
            <w:pPr>
              <w:widowControl/>
              <w:snapToGrid w:val="0"/>
              <w:ind w:left="0" w:leftChars="0" w:firstLine="0" w:firstLineChars="0"/>
              <w:jc w:val="left"/>
              <w:rPr>
                <w:rFonts w:hint="eastAsia" w:ascii="Times New Roman" w:hAnsi="Times New Roman" w:eastAsia="宋体" w:cs="Times New Roman"/>
                <w:b w:val="0"/>
                <w:bCs/>
                <w:snapToGrid w:val="0"/>
                <w:kern w:val="0"/>
                <w:sz w:val="24"/>
                <w:szCs w:val="24"/>
                <w:highlight w:val="none"/>
                <w:lang w:eastAsia="zh-CN"/>
              </w:rPr>
            </w:pPr>
            <w:r>
              <w:rPr>
                <w:rFonts w:hint="eastAsia" w:ascii="Times New Roman" w:hAnsi="Times New Roman" w:eastAsia="宋体" w:cs="Times New Roman"/>
                <w:b w:val="0"/>
                <w:bCs/>
                <w:snapToGrid w:val="0"/>
                <w:kern w:val="0"/>
                <w:sz w:val="24"/>
                <w:szCs w:val="24"/>
                <w:highlight w:val="none"/>
                <w:lang w:eastAsia="zh-CN"/>
              </w:rPr>
              <w:t>保证金缴纳执行安徽合肥公共资源交易中心发布的</w:t>
            </w:r>
          </w:p>
          <w:p>
            <w:pPr>
              <w:widowControl/>
              <w:snapToGrid w:val="0"/>
              <w:ind w:left="0" w:leftChars="0" w:firstLine="0" w:firstLineChars="0"/>
              <w:jc w:val="left"/>
              <w:rPr>
                <w:rFonts w:hint="eastAsia" w:ascii="Times New Roman" w:hAnsi="Times New Roman" w:eastAsia="宋体" w:cs="Times New Roman"/>
                <w:b w:val="0"/>
                <w:bCs/>
                <w:snapToGrid w:val="0"/>
                <w:kern w:val="0"/>
                <w:sz w:val="24"/>
                <w:szCs w:val="24"/>
                <w:highlight w:val="none"/>
                <w:lang w:eastAsia="zh-CN"/>
              </w:rPr>
            </w:pPr>
            <w:r>
              <w:rPr>
                <w:rFonts w:hint="eastAsia" w:ascii="Times New Roman" w:hAnsi="Times New Roman" w:eastAsia="宋体" w:cs="Times New Roman"/>
                <w:b w:val="0"/>
                <w:bCs/>
                <w:snapToGrid w:val="0"/>
                <w:kern w:val="0"/>
                <w:sz w:val="24"/>
                <w:szCs w:val="24"/>
                <w:highlight w:val="none"/>
                <w:lang w:eastAsia="zh-CN"/>
              </w:rPr>
              <w:t>《关于全面推行投标保证金、履约保证金、预付款担</w:t>
            </w:r>
          </w:p>
          <w:p>
            <w:pPr>
              <w:widowControl/>
              <w:snapToGrid w:val="0"/>
              <w:ind w:left="0" w:leftChars="0" w:firstLine="0" w:firstLineChars="0"/>
              <w:jc w:val="left"/>
              <w:rPr>
                <w:rFonts w:hint="default" w:ascii="Times New Roman" w:hAnsi="Times New Roman" w:eastAsia="宋体" w:cs="Times New Roman"/>
                <w:b w:val="0"/>
                <w:bCs/>
                <w:snapToGrid w:val="0"/>
                <w:kern w:val="0"/>
                <w:sz w:val="24"/>
                <w:szCs w:val="24"/>
                <w:highlight w:val="none"/>
                <w:lang w:val="en-US"/>
              </w:rPr>
            </w:pPr>
            <w:r>
              <w:rPr>
                <w:rFonts w:hint="eastAsia" w:ascii="Times New Roman" w:hAnsi="Times New Roman" w:eastAsia="宋体" w:cs="Times New Roman"/>
                <w:b w:val="0"/>
                <w:bCs/>
                <w:snapToGrid w:val="0"/>
                <w:kern w:val="0"/>
                <w:sz w:val="24"/>
                <w:szCs w:val="24"/>
                <w:highlight w:val="none"/>
                <w:lang w:eastAsia="zh-CN"/>
              </w:rPr>
              <w:t>保、质量保证金电子保函的通知》</w:t>
            </w:r>
            <w:r>
              <w:rPr>
                <w:rFonts w:hint="eastAsia" w:cs="Times New Roman"/>
                <w:b w:val="0"/>
                <w:bCs/>
                <w:snapToGrid w:val="0"/>
                <w:kern w:val="0"/>
                <w:sz w:val="24"/>
                <w:szCs w:val="24"/>
                <w:highlight w:val="none"/>
                <w:lang w:eastAsia="zh-CN"/>
              </w:rPr>
              <w:t>。</w:t>
            </w:r>
          </w:p>
          <w:p>
            <w:pPr>
              <w:widowControl/>
              <w:snapToGrid w:val="0"/>
              <w:ind w:firstLine="0" w:firstLineChars="0"/>
              <w:jc w:val="left"/>
              <w:rPr>
                <w:rFonts w:hint="eastAsia"/>
                <w:b w:val="0"/>
                <w:bCs/>
                <w:snapToGrid w:val="0"/>
                <w:kern w:val="0"/>
                <w:sz w:val="24"/>
                <w:highlight w:val="none"/>
              </w:rPr>
            </w:pPr>
            <w:r>
              <w:rPr>
                <w:rFonts w:hint="eastAsia"/>
                <w:b w:val="0"/>
                <w:bCs/>
                <w:snapToGrid w:val="0"/>
                <w:kern w:val="0"/>
                <w:sz w:val="24"/>
                <w:highlight w:val="none"/>
              </w:rPr>
              <w:t>备注：</w:t>
            </w:r>
          </w:p>
          <w:p>
            <w:pPr>
              <w:widowControl/>
              <w:snapToGrid w:val="0"/>
              <w:ind w:firstLine="0" w:firstLineChars="0"/>
              <w:jc w:val="left"/>
              <w:rPr>
                <w:b w:val="0"/>
                <w:bCs/>
                <w:snapToGrid w:val="0"/>
                <w:kern w:val="0"/>
                <w:sz w:val="24"/>
                <w:highlight w:val="none"/>
              </w:rPr>
            </w:pPr>
            <w:r>
              <w:rPr>
                <w:rFonts w:hint="eastAsia"/>
                <w:b w:val="0"/>
                <w:bCs/>
                <w:snapToGrid w:val="0"/>
                <w:kern w:val="0"/>
                <w:sz w:val="24"/>
                <w:highlight w:val="none"/>
              </w:rPr>
              <w:t xml:space="preserve">①未列明的按照国家、省、市相关政策执行。 </w:t>
            </w:r>
          </w:p>
          <w:p>
            <w:pPr>
              <w:widowControl/>
              <w:snapToGrid w:val="0"/>
              <w:ind w:firstLine="0" w:firstLineChars="0"/>
              <w:jc w:val="left"/>
              <w:rPr>
                <w:bCs/>
                <w:snapToGrid w:val="0"/>
                <w:kern w:val="0"/>
                <w:sz w:val="24"/>
              </w:rPr>
            </w:pPr>
            <w:r>
              <w:rPr>
                <w:rFonts w:hint="eastAsia"/>
                <w:b w:val="0"/>
                <w:bCs/>
                <w:snapToGrid w:val="0"/>
                <w:kern w:val="0"/>
                <w:sz w:val="24"/>
                <w:highlight w:val="none"/>
              </w:rPr>
              <w:t>②如有相关政策文件更新，按照最新政策文件执行。</w:t>
            </w:r>
          </w:p>
        </w:tc>
      </w:tr>
      <w:tr>
        <w:tblPrEx>
          <w:tblCellMar>
            <w:top w:w="0" w:type="dxa"/>
            <w:left w:w="108" w:type="dxa"/>
            <w:bottom w:w="0" w:type="dxa"/>
            <w:right w:w="108" w:type="dxa"/>
          </w:tblCellMar>
        </w:tblPrEx>
        <w:trPr>
          <w:trHeight w:val="648" w:hRule="atLeast"/>
        </w:trPr>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10.</w:t>
            </w:r>
            <w:r>
              <w:rPr>
                <w:rFonts w:hint="eastAsia"/>
                <w:sz w:val="24"/>
              </w:rPr>
              <w:t>4</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评标过程中的澄清、说明或补正</w:t>
            </w:r>
          </w:p>
        </w:tc>
        <w:tc>
          <w:tcPr>
            <w:tcW w:w="5332"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sz w:val="24"/>
              </w:rPr>
            </w:pPr>
            <w:r>
              <w:rPr>
                <w:rFonts w:hint="eastAsia"/>
                <w:sz w:val="24"/>
              </w:rPr>
              <w:t>（1）</w:t>
            </w:r>
            <w:r>
              <w:rPr>
                <w:sz w:val="24"/>
              </w:rPr>
              <w:t>评标委员会通过电子交易系统将需要澄清、说明或补正的内容以询标函的形式发送给投标人，投标人应安排专人登录电子交易系统并保持在线状态，以便及时接收评标委员会可能发出的询标函。</w:t>
            </w:r>
          </w:p>
          <w:p>
            <w:pPr>
              <w:ind w:firstLine="0" w:firstLineChars="0"/>
              <w:jc w:val="left"/>
              <w:rPr>
                <w:sz w:val="24"/>
              </w:rPr>
            </w:pPr>
            <w:r>
              <w:rPr>
                <w:rFonts w:hint="eastAsia"/>
                <w:sz w:val="24"/>
              </w:rPr>
              <w:t>（2）</w:t>
            </w:r>
            <w:r>
              <w:rPr>
                <w:sz w:val="24"/>
              </w:rPr>
              <w:t>因投标人未登录电子交易系统导致无法及时接收询标函（远程网上询标）或未在规定时间（</w:t>
            </w:r>
            <w:r>
              <w:rPr>
                <w:rFonts w:hint="eastAsia"/>
                <w:sz w:val="24"/>
                <w:u w:val="single"/>
              </w:rPr>
              <w:t>15</w:t>
            </w:r>
            <w:r>
              <w:rPr>
                <w:sz w:val="24"/>
              </w:rPr>
              <w:t>分钟）</w:t>
            </w:r>
            <w:r>
              <w:rPr>
                <w:rFonts w:hint="eastAsia"/>
                <w:sz w:val="24"/>
              </w:rPr>
              <w:t>按照</w:t>
            </w:r>
            <w:r>
              <w:rPr>
                <w:sz w:val="24"/>
              </w:rPr>
              <w:t>评标委员会要求进行澄清、说明或补正内容的，视同投标人放弃澄清、说明或补正内容的权利，评标委员会可</w:t>
            </w:r>
            <w:r>
              <w:rPr>
                <w:rFonts w:hint="eastAsia"/>
                <w:sz w:val="24"/>
              </w:rPr>
              <w:t>按照</w:t>
            </w:r>
            <w:r>
              <w:rPr>
                <w:sz w:val="24"/>
              </w:rPr>
              <w:t>对投标人不利的解释进行判定。</w:t>
            </w:r>
          </w:p>
        </w:tc>
      </w:tr>
      <w:tr>
        <w:tblPrEx>
          <w:tblCellMar>
            <w:top w:w="0" w:type="dxa"/>
            <w:left w:w="108" w:type="dxa"/>
            <w:bottom w:w="0" w:type="dxa"/>
            <w:right w:w="108" w:type="dxa"/>
          </w:tblCellMar>
        </w:tblPrEx>
        <w:trPr>
          <w:trHeight w:val="648" w:hRule="atLeast"/>
        </w:trPr>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10.</w:t>
            </w:r>
            <w:r>
              <w:rPr>
                <w:rFonts w:hint="eastAsia"/>
                <w:sz w:val="24"/>
              </w:rPr>
              <w:t>5</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投标人对所提供</w:t>
            </w:r>
            <w:r>
              <w:rPr>
                <w:rFonts w:hint="eastAsia"/>
                <w:sz w:val="24"/>
              </w:rPr>
              <w:t>材</w:t>
            </w:r>
            <w:r>
              <w:rPr>
                <w:sz w:val="24"/>
              </w:rPr>
              <w:t>料应承担的责任</w:t>
            </w:r>
          </w:p>
        </w:tc>
        <w:tc>
          <w:tcPr>
            <w:tcW w:w="53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cs="宋体"/>
                <w:bCs/>
                <w:sz w:val="24"/>
              </w:rPr>
            </w:pPr>
            <w:r>
              <w:rPr>
                <w:rFonts w:hint="eastAsia" w:ascii="宋体" w:hAnsi="宋体" w:cs="宋体"/>
                <w:sz w:val="24"/>
              </w:rPr>
              <w:t>（1）</w:t>
            </w:r>
            <w:r>
              <w:rPr>
                <w:rFonts w:ascii="宋体" w:hAnsi="宋体" w:cs="宋体"/>
                <w:sz w:val="24"/>
              </w:rPr>
              <w:t>投标人提供虚假材料谋取中标的，公共资源交易监督管理部门将依法处理，并记入不良行为记录，予以披露。</w:t>
            </w:r>
          </w:p>
          <w:p>
            <w:pPr>
              <w:widowControl/>
              <w:ind w:firstLine="0" w:firstLineChars="0"/>
              <w:jc w:val="left"/>
              <w:rPr>
                <w:sz w:val="24"/>
              </w:rPr>
            </w:pPr>
            <w:r>
              <w:rPr>
                <w:rFonts w:hint="eastAsia" w:cs="宋体"/>
                <w:bCs/>
                <w:sz w:val="24"/>
              </w:rPr>
              <w:t>（2）投标人对所提供的材料承担缔约过失责任和法律责任。若投诉人或举报人对前述材料存在争议，进行有效投诉或举报，被投诉人、被举报人应当主动配合公共资源交易监督管理部门调查，并在规定期限内举证，提供有关证明材料；拒绝配合</w:t>
            </w:r>
            <w:r>
              <w:rPr>
                <w:rFonts w:cs="宋体"/>
                <w:bCs/>
                <w:sz w:val="24"/>
              </w:rPr>
              <w:t>调查</w:t>
            </w:r>
            <w:r>
              <w:rPr>
                <w:rFonts w:hint="eastAsia" w:cs="宋体"/>
                <w:bCs/>
                <w:sz w:val="24"/>
              </w:rPr>
              <w:t>，且未在规定期限内举证、提供证明材料的，公共资源交易监督管理部门将依法处理。</w:t>
            </w:r>
          </w:p>
        </w:tc>
      </w:tr>
      <w:tr>
        <w:tblPrEx>
          <w:tblCellMar>
            <w:top w:w="0" w:type="dxa"/>
            <w:left w:w="108" w:type="dxa"/>
            <w:bottom w:w="0" w:type="dxa"/>
            <w:right w:w="108" w:type="dxa"/>
          </w:tblCellMar>
        </w:tblPrEx>
        <w:trPr>
          <w:trHeight w:val="648" w:hRule="atLeast"/>
        </w:trPr>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10.</w:t>
            </w:r>
            <w:r>
              <w:rPr>
                <w:rFonts w:hint="eastAsia"/>
                <w:sz w:val="24"/>
              </w:rPr>
              <w:t>6</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中标人未履行相关义务的责任</w:t>
            </w:r>
          </w:p>
        </w:tc>
        <w:tc>
          <w:tcPr>
            <w:tcW w:w="5332" w:type="dxa"/>
            <w:tcBorders>
              <w:top w:val="single" w:color="auto" w:sz="4" w:space="0"/>
              <w:left w:val="single" w:color="auto" w:sz="4" w:space="0"/>
              <w:bottom w:val="single" w:color="auto" w:sz="4" w:space="0"/>
              <w:right w:val="single" w:color="auto" w:sz="4" w:space="0"/>
            </w:tcBorders>
            <w:vAlign w:val="center"/>
          </w:tcPr>
          <w:p>
            <w:pPr>
              <w:widowControl/>
              <w:snapToGrid w:val="0"/>
              <w:ind w:firstLine="0" w:firstLineChars="0"/>
              <w:jc w:val="left"/>
              <w:rPr>
                <w:rFonts w:cs="宋体"/>
                <w:bCs/>
                <w:sz w:val="24"/>
              </w:rPr>
            </w:pPr>
            <w:r>
              <w:rPr>
                <w:rFonts w:hint="eastAsia" w:cs="宋体"/>
                <w:bCs/>
                <w:sz w:val="24"/>
              </w:rPr>
              <w:t>中标人未履行相关义务的，公共资源交易监督管理部门将依法对中标人进行处理，追究相关责任：</w:t>
            </w:r>
          </w:p>
          <w:p>
            <w:pPr>
              <w:widowControl/>
              <w:snapToGrid w:val="0"/>
              <w:ind w:firstLine="0" w:firstLineChars="0"/>
              <w:jc w:val="left"/>
              <w:rPr>
                <w:rFonts w:cs="宋体"/>
                <w:bCs/>
                <w:sz w:val="24"/>
              </w:rPr>
            </w:pPr>
            <w:r>
              <w:rPr>
                <w:rFonts w:hint="eastAsia" w:cs="宋体"/>
                <w:bCs/>
                <w:sz w:val="24"/>
              </w:rPr>
              <w:t>（1）中标后，中标人被公共资源交易监督管理部门查实存在违法行为，不满足中标条件的，由招标人取消其中标资格，并做好项目后续工作；</w:t>
            </w:r>
          </w:p>
          <w:p>
            <w:pPr>
              <w:widowControl/>
              <w:snapToGrid w:val="0"/>
              <w:ind w:firstLine="0" w:firstLineChars="0"/>
              <w:jc w:val="left"/>
              <w:rPr>
                <w:rFonts w:cs="宋体"/>
                <w:bCs/>
                <w:sz w:val="24"/>
              </w:rPr>
            </w:pPr>
            <w:r>
              <w:rPr>
                <w:rFonts w:hint="eastAsia" w:cs="宋体"/>
                <w:bCs/>
                <w:sz w:val="24"/>
              </w:rPr>
              <w:t>（2）中标人应在规定期限内提交履约保证金并与招标人签订合同，若中标人未能在规定期限内提交履约保证金或签订合同，招标人有权取消其中标资格，并报公共资源交易监督管理部门；</w:t>
            </w:r>
          </w:p>
          <w:p>
            <w:pPr>
              <w:widowControl/>
              <w:ind w:firstLine="0" w:firstLineChars="0"/>
              <w:jc w:val="left"/>
              <w:rPr>
                <w:sz w:val="24"/>
              </w:rPr>
            </w:pPr>
            <w:r>
              <w:rPr>
                <w:rFonts w:hint="eastAsia" w:cs="宋体"/>
                <w:bCs/>
                <w:sz w:val="24"/>
              </w:rPr>
              <w:t>（3）合同签订后，中标人存在规定时间内不组织人员进场开工、不履行合同义务等情况，招标人有权解除合同，追究其违约责任，并报公共资源交易监督管理部门。</w:t>
            </w:r>
          </w:p>
        </w:tc>
      </w:tr>
      <w:tr>
        <w:tblPrEx>
          <w:tblCellMar>
            <w:top w:w="0" w:type="dxa"/>
            <w:left w:w="108" w:type="dxa"/>
            <w:bottom w:w="0" w:type="dxa"/>
            <w:right w:w="108" w:type="dxa"/>
          </w:tblCellMar>
        </w:tblPrEx>
        <w:trPr>
          <w:trHeight w:val="648" w:hRule="atLeast"/>
        </w:trPr>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10.</w:t>
            </w:r>
            <w:r>
              <w:rPr>
                <w:rFonts w:hint="eastAsia"/>
                <w:sz w:val="24"/>
              </w:rPr>
              <w:t>7</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同义词语</w:t>
            </w:r>
          </w:p>
        </w:tc>
        <w:tc>
          <w:tcPr>
            <w:tcW w:w="53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4"/>
              </w:rPr>
            </w:pPr>
            <w:r>
              <w:rPr>
                <w:sz w:val="24"/>
              </w:rPr>
              <w:t>构成招标文件组成部</w:t>
            </w:r>
            <w:r>
              <w:rPr>
                <w:rFonts w:hint="eastAsia" w:ascii="宋体" w:hAnsi="宋体" w:cs="宋体"/>
                <w:sz w:val="24"/>
              </w:rPr>
              <w:t>分的“通用合同条款”“专用合同条款”“技术标准和要求”和“工程量清单”等章节中“发包人”和“承包人”，等同于招标投标阶段的“招标人”和“投标人/中标人”</w:t>
            </w:r>
            <w:r>
              <w:rPr>
                <w:sz w:val="24"/>
              </w:rPr>
              <w:t>。</w:t>
            </w:r>
          </w:p>
        </w:tc>
      </w:tr>
      <w:tr>
        <w:tblPrEx>
          <w:tblCellMar>
            <w:top w:w="0" w:type="dxa"/>
            <w:left w:w="108" w:type="dxa"/>
            <w:bottom w:w="0" w:type="dxa"/>
            <w:right w:w="108" w:type="dxa"/>
          </w:tblCellMar>
        </w:tblPrEx>
        <w:trPr>
          <w:trHeight w:val="648" w:hRule="atLeast"/>
        </w:trPr>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10.</w:t>
            </w:r>
            <w:r>
              <w:rPr>
                <w:rFonts w:hint="eastAsia"/>
                <w:sz w:val="24"/>
              </w:rPr>
              <w:t>8</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解释权</w:t>
            </w:r>
          </w:p>
        </w:tc>
        <w:tc>
          <w:tcPr>
            <w:tcW w:w="53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4"/>
              </w:rPr>
            </w:pPr>
            <w:r>
              <w:rPr>
                <w:rFonts w:hint="eastAsia"/>
                <w:sz w:val="24"/>
              </w:rPr>
              <w:t>（1）</w:t>
            </w:r>
            <w:r>
              <w:rPr>
                <w:sz w:val="24"/>
              </w:rPr>
              <w:t>构成本招标文件的各个组成文件应互为解释，互为说明；</w:t>
            </w:r>
          </w:p>
          <w:p>
            <w:pPr>
              <w:widowControl/>
              <w:ind w:firstLine="0" w:firstLineChars="0"/>
              <w:jc w:val="left"/>
              <w:rPr>
                <w:sz w:val="24"/>
              </w:rPr>
            </w:pPr>
            <w:r>
              <w:rPr>
                <w:rFonts w:hint="eastAsia"/>
                <w:sz w:val="24"/>
              </w:rPr>
              <w:t>（2）</w:t>
            </w:r>
            <w:r>
              <w:rPr>
                <w:sz w:val="24"/>
              </w:rPr>
              <w:t>同一组成文件中就同一事项的规定或约定不一致的，以编排顺序在后者为准；</w:t>
            </w:r>
          </w:p>
          <w:p>
            <w:pPr>
              <w:widowControl/>
              <w:ind w:firstLine="0" w:firstLineChars="0"/>
              <w:jc w:val="left"/>
              <w:rPr>
                <w:sz w:val="24"/>
              </w:rPr>
            </w:pPr>
            <w:r>
              <w:rPr>
                <w:rFonts w:hint="eastAsia"/>
                <w:sz w:val="24"/>
              </w:rPr>
              <w:t>（3）</w:t>
            </w:r>
            <w:r>
              <w:rPr>
                <w:sz w:val="24"/>
              </w:rPr>
              <w:t>如有不明确或不一致，构成合同文件组成内容的，以合同文件约定内容为准，且以专用合同条款约定的合同文件优先顺序解释；</w:t>
            </w:r>
          </w:p>
          <w:p>
            <w:pPr>
              <w:widowControl/>
              <w:ind w:firstLine="0" w:firstLineChars="0"/>
              <w:jc w:val="left"/>
              <w:rPr>
                <w:sz w:val="24"/>
              </w:rPr>
            </w:pPr>
            <w:r>
              <w:rPr>
                <w:rFonts w:hint="eastAsia"/>
                <w:sz w:val="24"/>
              </w:rPr>
              <w:t>（4）</w:t>
            </w:r>
            <w:r>
              <w:rPr>
                <w:sz w:val="24"/>
              </w:rPr>
              <w:t>除招标文件中有特别规定外，仅适用于招标投标阶段的规定，</w:t>
            </w:r>
            <w:r>
              <w:rPr>
                <w:rFonts w:hint="eastAsia"/>
                <w:sz w:val="24"/>
              </w:rPr>
              <w:t>按照</w:t>
            </w:r>
            <w:r>
              <w:rPr>
                <w:sz w:val="24"/>
              </w:rPr>
              <w:t>招标公告、投标人须知、评标办法、投标文件格式的先后顺序解释；</w:t>
            </w:r>
          </w:p>
          <w:p>
            <w:pPr>
              <w:widowControl/>
              <w:ind w:firstLine="0" w:firstLineChars="0"/>
              <w:jc w:val="left"/>
              <w:rPr>
                <w:sz w:val="24"/>
              </w:rPr>
            </w:pPr>
            <w:r>
              <w:rPr>
                <w:rFonts w:hint="eastAsia"/>
                <w:sz w:val="24"/>
              </w:rPr>
              <w:t>（5）按照</w:t>
            </w:r>
            <w:r>
              <w:rPr>
                <w:sz w:val="24"/>
              </w:rPr>
              <w:t>本款前述规定仍不能形成结论的，由招标人负责解释。</w:t>
            </w:r>
          </w:p>
        </w:tc>
      </w:tr>
      <w:tr>
        <w:tblPrEx>
          <w:tblCellMar>
            <w:top w:w="0" w:type="dxa"/>
            <w:left w:w="108" w:type="dxa"/>
            <w:bottom w:w="0" w:type="dxa"/>
            <w:right w:w="108" w:type="dxa"/>
          </w:tblCellMar>
        </w:tblPrEx>
        <w:trPr>
          <w:trHeight w:val="648" w:hRule="atLeast"/>
        </w:trPr>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10.</w:t>
            </w:r>
            <w:r>
              <w:rPr>
                <w:rFonts w:hint="eastAsia"/>
                <w:sz w:val="24"/>
              </w:rPr>
              <w:t>9</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snapToGrid w:val="0"/>
                <w:sz w:val="24"/>
              </w:rPr>
            </w:pPr>
            <w:r>
              <w:rPr>
                <w:bCs/>
                <w:snapToGrid w:val="0"/>
                <w:sz w:val="24"/>
              </w:rPr>
              <w:t>创优目标</w:t>
            </w:r>
          </w:p>
        </w:tc>
        <w:tc>
          <w:tcPr>
            <w:tcW w:w="5332"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bCs/>
                <w:sz w:val="24"/>
                <w:highlight w:val="none"/>
              </w:rPr>
            </w:pPr>
            <w:r>
              <w:rPr>
                <w:sz w:val="24"/>
                <w:highlight w:val="none"/>
              </w:rPr>
              <w:sym w:font="Wingdings 2" w:char="0052"/>
            </w:r>
            <w:r>
              <w:rPr>
                <w:bCs/>
                <w:sz w:val="24"/>
                <w:highlight w:val="none"/>
              </w:rPr>
              <w:t>无</w:t>
            </w:r>
          </w:p>
          <w:p>
            <w:pPr>
              <w:widowControl/>
              <w:ind w:firstLine="0" w:firstLineChars="0"/>
              <w:jc w:val="left"/>
              <w:rPr>
                <w:sz w:val="24"/>
              </w:rPr>
            </w:pPr>
            <w:r>
              <w:rPr>
                <w:bCs/>
                <w:sz w:val="24"/>
                <w:highlight w:val="none"/>
              </w:rPr>
              <w:sym w:font="Wingdings 2" w:char="00A3"/>
            </w:r>
            <w:r>
              <w:rPr>
                <w:bCs/>
                <w:sz w:val="24"/>
                <w:highlight w:val="none"/>
              </w:rPr>
              <w:t>有，具体要求如下：</w:t>
            </w:r>
            <w:r>
              <w:rPr>
                <w:sz w:val="24"/>
                <w:highlight w:val="none"/>
                <w:u w:val="single"/>
              </w:rPr>
              <w:t xml:space="preserve">   </w:t>
            </w:r>
            <w:r>
              <w:rPr>
                <w:rFonts w:hint="eastAsia"/>
                <w:sz w:val="24"/>
                <w:highlight w:val="none"/>
                <w:u w:val="single"/>
              </w:rPr>
              <w:t>/</w:t>
            </w:r>
            <w:r>
              <w:rPr>
                <w:sz w:val="24"/>
                <w:highlight w:val="none"/>
                <w:u w:val="single"/>
              </w:rPr>
              <w:t xml:space="preserve"> </w:t>
            </w:r>
            <w:r>
              <w:rPr>
                <w:sz w:val="24"/>
                <w:u w:val="single"/>
              </w:rPr>
              <w:t xml:space="preserve">  </w:t>
            </w:r>
          </w:p>
        </w:tc>
      </w:tr>
      <w:tr>
        <w:tblPrEx>
          <w:tblCellMar>
            <w:top w:w="0" w:type="dxa"/>
            <w:left w:w="108" w:type="dxa"/>
            <w:bottom w:w="0" w:type="dxa"/>
            <w:right w:w="108" w:type="dxa"/>
          </w:tblCellMar>
        </w:tblPrEx>
        <w:trPr>
          <w:trHeight w:val="648" w:hRule="atLeast"/>
        </w:trPr>
        <w:tc>
          <w:tcPr>
            <w:tcW w:w="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4"/>
              </w:rPr>
            </w:pPr>
            <w:r>
              <w:rPr>
                <w:sz w:val="24"/>
              </w:rPr>
              <w:t>10.1</w:t>
            </w:r>
            <w:r>
              <w:rPr>
                <w:rFonts w:hint="eastAsia"/>
                <w:sz w:val="24"/>
              </w:rPr>
              <w:t>0</w:t>
            </w:r>
          </w:p>
        </w:tc>
        <w:tc>
          <w:tcPr>
            <w:tcW w:w="25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snapToGrid w:val="0"/>
                <w:sz w:val="24"/>
              </w:rPr>
            </w:pPr>
            <w:r>
              <w:rPr>
                <w:bCs/>
                <w:snapToGrid w:val="0"/>
                <w:sz w:val="24"/>
              </w:rPr>
              <w:t>异议提出方式</w:t>
            </w:r>
          </w:p>
        </w:tc>
        <w:tc>
          <w:tcPr>
            <w:tcW w:w="533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sz w:val="24"/>
                <w:u w:val="single"/>
              </w:rPr>
            </w:pPr>
            <w:r>
              <w:rPr>
                <w:sz w:val="24"/>
              </w:rPr>
              <w:t>通过电子交易系统在线提出或以其他书面形式提出</w:t>
            </w:r>
          </w:p>
        </w:tc>
      </w:tr>
      <w:tr>
        <w:tblPrEx>
          <w:tblCellMar>
            <w:top w:w="0" w:type="dxa"/>
            <w:left w:w="108" w:type="dxa"/>
            <w:bottom w:w="0" w:type="dxa"/>
            <w:right w:w="108" w:type="dxa"/>
          </w:tblCellMar>
        </w:tblPrEx>
        <w:trPr>
          <w:trHeight w:val="707"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10.</w:t>
            </w:r>
            <w:r>
              <w:rPr>
                <w:rFonts w:hint="eastAsia"/>
                <w:sz w:val="24"/>
              </w:rPr>
              <w:t>11</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投标所需资料的提供</w:t>
            </w:r>
          </w:p>
        </w:tc>
        <w:tc>
          <w:tcPr>
            <w:tcW w:w="5332" w:type="dxa"/>
            <w:tcBorders>
              <w:top w:val="single" w:color="auto" w:sz="4" w:space="0"/>
              <w:left w:val="single" w:color="auto" w:sz="4" w:space="0"/>
              <w:bottom w:val="single" w:color="auto" w:sz="4" w:space="0"/>
              <w:right w:val="single" w:color="auto" w:sz="4" w:space="0"/>
            </w:tcBorders>
            <w:vAlign w:val="center"/>
          </w:tcPr>
          <w:p>
            <w:pPr>
              <w:widowControl/>
              <w:snapToGrid w:val="0"/>
              <w:ind w:right="-109" w:rightChars="-52" w:firstLine="0" w:firstLineChars="0"/>
              <w:jc w:val="left"/>
              <w:rPr>
                <w:rFonts w:ascii="宋体" w:hAnsi="宋体"/>
                <w:bCs/>
                <w:snapToGrid w:val="0"/>
                <w:kern w:val="0"/>
                <w:sz w:val="24"/>
              </w:rPr>
            </w:pPr>
            <w:r>
              <w:rPr>
                <w:rFonts w:hint="eastAsia" w:ascii="宋体" w:hAnsi="宋体"/>
                <w:bCs/>
                <w:snapToGrid w:val="0"/>
                <w:kern w:val="0"/>
                <w:sz w:val="24"/>
              </w:rPr>
              <w:t>（1）对于编制投标文件时所需的资料，由投标人自行扫描后通过相应端口上传，主要包括以下内容：</w:t>
            </w:r>
          </w:p>
          <w:p>
            <w:pPr>
              <w:widowControl/>
              <w:snapToGrid w:val="0"/>
              <w:ind w:right="-109" w:rightChars="-52" w:firstLine="0" w:firstLineChars="0"/>
              <w:jc w:val="left"/>
              <w:rPr>
                <w:rFonts w:ascii="宋体" w:hAnsi="宋体"/>
                <w:bCs/>
                <w:snapToGrid w:val="0"/>
                <w:kern w:val="0"/>
                <w:sz w:val="24"/>
              </w:rPr>
            </w:pPr>
            <w:r>
              <w:rPr>
                <w:rFonts w:hint="eastAsia" w:ascii="宋体" w:hAnsi="宋体"/>
                <w:bCs/>
                <w:snapToGrid w:val="0"/>
                <w:kern w:val="0"/>
                <w:sz w:val="24"/>
              </w:rPr>
              <w:t>①投标人各类证件信息：营业执照、资质证书、公路工程施工资质企业名录截图、安全生产许可证、基本账户开户证明、法定代表人身份证等；</w:t>
            </w:r>
          </w:p>
          <w:p>
            <w:pPr>
              <w:widowControl/>
              <w:snapToGrid w:val="0"/>
              <w:ind w:right="-109" w:rightChars="-52" w:firstLine="0" w:firstLineChars="0"/>
              <w:jc w:val="left"/>
              <w:rPr>
                <w:rFonts w:ascii="宋体" w:hAnsi="宋体"/>
                <w:bCs/>
                <w:snapToGrid w:val="0"/>
                <w:kern w:val="0"/>
                <w:sz w:val="24"/>
              </w:rPr>
            </w:pPr>
            <w:r>
              <w:rPr>
                <w:rFonts w:hint="eastAsia" w:ascii="宋体" w:hAnsi="宋体"/>
                <w:bCs/>
                <w:snapToGrid w:val="0"/>
                <w:kern w:val="0"/>
                <w:sz w:val="24"/>
              </w:rPr>
              <w:t>②投标人类似项目业绩网页截图；</w:t>
            </w:r>
          </w:p>
          <w:p>
            <w:pPr>
              <w:widowControl/>
              <w:snapToGrid w:val="0"/>
              <w:ind w:right="-109" w:rightChars="-52" w:firstLine="0" w:firstLineChars="0"/>
              <w:jc w:val="left"/>
              <w:rPr>
                <w:rFonts w:ascii="宋体" w:hAnsi="宋体"/>
                <w:bCs/>
                <w:snapToGrid w:val="0"/>
                <w:kern w:val="0"/>
                <w:sz w:val="24"/>
              </w:rPr>
            </w:pPr>
            <w:r>
              <w:rPr>
                <w:rFonts w:hint="eastAsia" w:ascii="宋体" w:hAnsi="宋体"/>
                <w:bCs/>
                <w:snapToGrid w:val="0"/>
                <w:kern w:val="0"/>
                <w:sz w:val="24"/>
              </w:rPr>
              <w:t>③项目经理、项目总工业绩网页截图；</w:t>
            </w:r>
          </w:p>
          <w:p>
            <w:pPr>
              <w:widowControl/>
              <w:snapToGrid w:val="0"/>
              <w:ind w:right="-109" w:rightChars="-52" w:firstLine="0" w:firstLineChars="0"/>
              <w:jc w:val="left"/>
              <w:rPr>
                <w:rFonts w:ascii="宋体" w:hAnsi="宋体"/>
                <w:bCs/>
                <w:snapToGrid w:val="0"/>
                <w:kern w:val="0"/>
                <w:sz w:val="24"/>
              </w:rPr>
            </w:pPr>
            <w:r>
              <w:rPr>
                <w:rFonts w:hint="eastAsia" w:ascii="宋体" w:hAnsi="宋体"/>
                <w:bCs/>
                <w:snapToGrid w:val="0"/>
                <w:kern w:val="0"/>
                <w:sz w:val="24"/>
              </w:rPr>
              <w:t>④项目经理和项目总工各类证件信息：注册建造师证书、B类安全生产考核合格证书、技术职称证书等；</w:t>
            </w:r>
          </w:p>
          <w:p>
            <w:pPr>
              <w:widowControl/>
              <w:snapToGrid w:val="0"/>
              <w:ind w:right="-109" w:rightChars="-52" w:firstLine="0" w:firstLineChars="0"/>
              <w:jc w:val="left"/>
              <w:rPr>
                <w:rFonts w:ascii="宋体" w:hAnsi="宋体"/>
                <w:bCs/>
                <w:snapToGrid w:val="0"/>
                <w:kern w:val="0"/>
                <w:sz w:val="24"/>
              </w:rPr>
            </w:pPr>
            <w:r>
              <w:rPr>
                <w:rFonts w:hint="eastAsia" w:ascii="宋体" w:hAnsi="宋体"/>
                <w:bCs/>
                <w:snapToGrid w:val="0"/>
                <w:kern w:val="0"/>
                <w:sz w:val="24"/>
              </w:rPr>
              <w:t>⑤技术能力、奖项、荣誉等；</w:t>
            </w:r>
          </w:p>
          <w:p>
            <w:pPr>
              <w:widowControl/>
              <w:snapToGrid w:val="0"/>
              <w:ind w:right="-109" w:rightChars="-52" w:firstLine="0" w:firstLineChars="0"/>
              <w:jc w:val="left"/>
              <w:rPr>
                <w:rFonts w:ascii="宋体" w:hAnsi="宋体"/>
                <w:bCs/>
                <w:snapToGrid w:val="0"/>
                <w:kern w:val="0"/>
                <w:sz w:val="24"/>
              </w:rPr>
            </w:pPr>
            <w:r>
              <w:rPr>
                <w:rFonts w:hint="eastAsia" w:ascii="宋体" w:hAnsi="宋体"/>
                <w:bCs/>
                <w:snapToGrid w:val="0"/>
                <w:kern w:val="0"/>
                <w:sz w:val="24"/>
              </w:rPr>
              <w:t>（2）对于编制投标文件时所需的其他资料，如财务会计报表、项目经理承诺、委托代理人及项目管理机构人员在社保系统打印的本单位人员缴费明细、投标保证金银行保函（或担保机构担保）、信用等级截图、联合体协议书及非联合体牵头人相应需要提供的表格和资料（如采用）等，投标人自行扫描后通过“其他材料”窗口上传。</w:t>
            </w:r>
          </w:p>
          <w:p>
            <w:pPr>
              <w:widowControl/>
              <w:snapToGrid w:val="0"/>
              <w:ind w:right="-109" w:rightChars="-52" w:firstLine="0" w:firstLineChars="0"/>
              <w:jc w:val="left"/>
              <w:rPr>
                <w:rFonts w:ascii="宋体" w:hAnsi="宋体"/>
                <w:bCs/>
                <w:snapToGrid w:val="0"/>
                <w:kern w:val="0"/>
                <w:sz w:val="24"/>
              </w:rPr>
            </w:pPr>
            <w:r>
              <w:rPr>
                <w:rFonts w:hint="eastAsia" w:ascii="宋体" w:hAnsi="宋体"/>
                <w:bCs/>
                <w:snapToGrid w:val="0"/>
                <w:kern w:val="0"/>
                <w:sz w:val="24"/>
              </w:rPr>
              <w:t>（3）投标人应及时查看上传的相关资料，如出现上传的相应投标资料不全、模糊不清、超出有效期等情况，评标委员会将作出对投标人不利的认定，由此产生的一切后果由投标人自行承担。</w:t>
            </w:r>
          </w:p>
          <w:p>
            <w:pPr>
              <w:widowControl/>
              <w:snapToGrid w:val="0"/>
              <w:ind w:right="-109" w:rightChars="-52" w:firstLine="0" w:firstLineChars="0"/>
              <w:jc w:val="left"/>
              <w:rPr>
                <w:rFonts w:ascii="宋体" w:hAnsi="宋体"/>
                <w:bCs/>
                <w:snapToGrid w:val="0"/>
                <w:kern w:val="0"/>
                <w:sz w:val="24"/>
              </w:rPr>
            </w:pPr>
            <w:r>
              <w:rPr>
                <w:rFonts w:hint="eastAsia" w:ascii="宋体" w:hAnsi="宋体"/>
                <w:bCs/>
                <w:snapToGrid w:val="0"/>
                <w:kern w:val="0"/>
                <w:sz w:val="24"/>
              </w:rPr>
              <w:t>（4）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pPr>
              <w:widowControl/>
              <w:snapToGrid w:val="0"/>
              <w:ind w:right="-109" w:rightChars="-52" w:firstLine="0" w:firstLineChars="0"/>
              <w:jc w:val="left"/>
              <w:rPr>
                <w:rFonts w:hint="eastAsia" w:ascii="宋体" w:hAnsi="宋体"/>
                <w:bCs/>
                <w:snapToGrid w:val="0"/>
                <w:kern w:val="0"/>
                <w:sz w:val="24"/>
              </w:rPr>
            </w:pPr>
            <w:r>
              <w:rPr>
                <w:rFonts w:hint="eastAsia" w:ascii="宋体" w:hAnsi="宋体"/>
                <w:bCs/>
                <w:snapToGrid w:val="0"/>
                <w:kern w:val="0"/>
                <w:sz w:val="24"/>
              </w:rPr>
              <w:t>（5）采用一级建造师投标的应符合《住房和城乡建设部办公厅关于全面实行一级建造师电子注册证书的通知》(建办市〔2021〕40号)规定，投标文件应提供一级建造师电子注册证书，且应在个人签名处手写本人签名，未手写签名或与签名图像笔迹不一致的，该电子证书无效。</w:t>
            </w:r>
          </w:p>
          <w:p>
            <w:pPr>
              <w:widowControl/>
              <w:snapToGrid w:val="0"/>
              <w:ind w:right="-109" w:rightChars="-52" w:firstLine="0" w:firstLineChars="0"/>
              <w:jc w:val="left"/>
              <w:rPr>
                <w:rFonts w:hint="eastAsia" w:ascii="宋体" w:hAnsi="宋体" w:eastAsia="宋体"/>
                <w:bCs/>
                <w:snapToGrid w:val="0"/>
                <w:kern w:val="0"/>
                <w:sz w:val="24"/>
                <w:lang w:eastAsia="zh-CN"/>
              </w:rPr>
            </w:pPr>
            <w:r>
              <w:rPr>
                <w:rFonts w:hint="eastAsia" w:ascii="宋体" w:hAnsi="宋体"/>
                <w:bCs/>
                <w:snapToGrid w:val="0"/>
                <w:kern w:val="0"/>
                <w:sz w:val="24"/>
                <w:lang w:eastAsia="zh-CN"/>
              </w:rPr>
              <w:t>（</w:t>
            </w:r>
            <w:r>
              <w:rPr>
                <w:rFonts w:hint="eastAsia" w:ascii="宋体" w:hAnsi="宋体"/>
                <w:bCs/>
                <w:snapToGrid w:val="0"/>
                <w:kern w:val="0"/>
                <w:sz w:val="24"/>
                <w:lang w:val="en-US" w:eastAsia="zh-CN"/>
              </w:rPr>
              <w:t>6</w:t>
            </w:r>
            <w:r>
              <w:rPr>
                <w:rFonts w:hint="eastAsia" w:ascii="宋体" w:hAnsi="宋体"/>
                <w:bCs/>
                <w:snapToGrid w:val="0"/>
                <w:kern w:val="0"/>
                <w:sz w:val="24"/>
                <w:lang w:eastAsia="zh-CN"/>
              </w:rPr>
              <w:t>）采用安徽省二级建造师投标的应按《关于加强二级建造师事中事后监管工作的通知》（建市函〔2024〕137号）执行，2024年8月31日之前新旧二级建造师电子证书具有同等法律效力。自2024年9月1日起，旧二级建造师电子证书失效。二级建造师打印电子证书后，应在个人签名处手写本人签名，未手写签名或与签名图像笔迹不一致的，该电子证书无效。</w:t>
            </w:r>
          </w:p>
          <w:p>
            <w:pPr>
              <w:snapToGrid w:val="0"/>
              <w:ind w:firstLine="0" w:firstLineChars="0"/>
              <w:rPr>
                <w:b/>
                <w:sz w:val="24"/>
              </w:rPr>
            </w:pPr>
            <w:r>
              <w:rPr>
                <w:rFonts w:hint="eastAsia" w:ascii="宋体" w:hAnsi="宋体"/>
                <w:bCs/>
                <w:snapToGrid w:val="0"/>
                <w:kern w:val="0"/>
                <w:sz w:val="24"/>
              </w:rPr>
              <w:t>（</w:t>
            </w:r>
            <w:r>
              <w:rPr>
                <w:rFonts w:hint="eastAsia" w:ascii="宋体" w:hAnsi="宋体"/>
                <w:bCs/>
                <w:snapToGrid w:val="0"/>
                <w:kern w:val="0"/>
                <w:sz w:val="24"/>
                <w:lang w:val="en-US" w:eastAsia="zh-CN"/>
              </w:rPr>
              <w:t>7</w:t>
            </w:r>
            <w:r>
              <w:rPr>
                <w:rFonts w:hint="eastAsia" w:ascii="宋体" w:hAnsi="宋体"/>
                <w:bCs/>
                <w:snapToGrid w:val="0"/>
                <w:kern w:val="0"/>
                <w:sz w:val="24"/>
              </w:rPr>
              <w:t>）以上资料具体以第三章“评标办法”和第九章“投标文件格式”要求为准。</w:t>
            </w:r>
          </w:p>
        </w:tc>
      </w:tr>
      <w:tr>
        <w:tblPrEx>
          <w:tblCellMar>
            <w:top w:w="0" w:type="dxa"/>
            <w:left w:w="108" w:type="dxa"/>
            <w:bottom w:w="0" w:type="dxa"/>
            <w:right w:w="108" w:type="dxa"/>
          </w:tblCellMar>
        </w:tblPrEx>
        <w:trPr>
          <w:trHeight w:val="1234"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sz w:val="24"/>
              </w:rPr>
              <w:t>10.</w:t>
            </w:r>
            <w:r>
              <w:rPr>
                <w:rFonts w:hint="eastAsia"/>
                <w:sz w:val="24"/>
              </w:rPr>
              <w:t>12</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报价文件编制格式要求</w:t>
            </w:r>
          </w:p>
        </w:tc>
        <w:tc>
          <w:tcPr>
            <w:tcW w:w="5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0" w:firstLineChars="0"/>
              <w:rPr>
                <w:bCs/>
                <w:snapToGrid w:val="0"/>
                <w:kern w:val="0"/>
                <w:sz w:val="24"/>
              </w:rPr>
            </w:pPr>
            <w:r>
              <w:rPr>
                <w:rFonts w:hint="eastAsia"/>
                <w:bCs/>
                <w:snapToGrid w:val="0"/>
                <w:kern w:val="0"/>
                <w:sz w:val="24"/>
              </w:rPr>
              <w:t>1、使用安徽合肥公共资源交易中心提供的电子标书制作工具软件（</w:t>
            </w:r>
            <w:r>
              <w:rPr>
                <w:bCs/>
                <w:snapToGrid w:val="0"/>
                <w:kern w:val="0"/>
                <w:sz w:val="24"/>
              </w:rPr>
              <w:t>http://http://ggzy.hefei.gov.cn/</w:t>
            </w:r>
            <w:r>
              <w:rPr>
                <w:rFonts w:hint="eastAsia"/>
                <w:bCs/>
                <w:snapToGrid w:val="0"/>
                <w:kern w:val="0"/>
                <w:sz w:val="24"/>
              </w:rPr>
              <w:t>网上下载）制作生成的加密版投标文件。</w:t>
            </w:r>
          </w:p>
          <w:p>
            <w:pPr>
              <w:adjustRightInd w:val="0"/>
              <w:snapToGrid w:val="0"/>
              <w:spacing w:line="360" w:lineRule="auto"/>
              <w:ind w:firstLine="0" w:firstLineChars="0"/>
              <w:rPr>
                <w:bCs/>
                <w:snapToGrid w:val="0"/>
                <w:kern w:val="0"/>
                <w:sz w:val="24"/>
              </w:rPr>
            </w:pPr>
            <w:r>
              <w:rPr>
                <w:rFonts w:hint="eastAsia"/>
                <w:bCs/>
                <w:snapToGrid w:val="0"/>
                <w:kern w:val="0"/>
                <w:sz w:val="24"/>
              </w:rPr>
              <w:t>特别提示：投标人需采用最新版投标文件制作工具，具体请在安徽合肥公共资源电子交易平台-“网上招投标”栏目中下载，软件启动时也将进行提示（需在国际互联网络通畅状态），各投标人需注意更新，以免造成标书制作错误，因此导致无效标，责任自负。</w:t>
            </w:r>
          </w:p>
          <w:p>
            <w:pPr>
              <w:spacing w:line="400" w:lineRule="atLeast"/>
              <w:ind w:firstLine="0" w:firstLineChars="0"/>
              <w:rPr>
                <w:bCs/>
                <w:snapToGrid w:val="0"/>
                <w:kern w:val="0"/>
                <w:sz w:val="24"/>
              </w:rPr>
            </w:pPr>
            <w:r>
              <w:rPr>
                <w:rFonts w:hint="eastAsia"/>
                <w:bCs/>
                <w:snapToGrid w:val="0"/>
                <w:kern w:val="0"/>
                <w:sz w:val="24"/>
              </w:rPr>
              <w:t>2、工程量清单报价书编制人应为投标人或工程造价咨询单位具有造价执业资格的人员。鉴于现阶段为造价员取消过渡阶段，工程量清单报价书编制人可为造价员，评审过程中不对造价员执业专用章的时间有效性或电子执业章的时间有效性进行评审。</w:t>
            </w:r>
          </w:p>
          <w:p>
            <w:pPr>
              <w:spacing w:line="400" w:lineRule="atLeast"/>
              <w:ind w:firstLine="0" w:firstLineChars="0"/>
              <w:rPr>
                <w:sz w:val="24"/>
              </w:rPr>
            </w:pPr>
            <w:r>
              <w:rPr>
                <w:rFonts w:hint="eastAsia"/>
                <w:bCs/>
                <w:snapToGrid w:val="0"/>
                <w:kern w:val="0"/>
                <w:sz w:val="24"/>
              </w:rPr>
              <w:t>3、本项目招标文件关于报价文件的格式等要求与发布的清单及最高投标限价不一致的，以清单及最高投标限价为准。</w:t>
            </w:r>
          </w:p>
        </w:tc>
      </w:tr>
      <w:tr>
        <w:tblPrEx>
          <w:tblCellMar>
            <w:top w:w="0" w:type="dxa"/>
            <w:left w:w="108" w:type="dxa"/>
            <w:bottom w:w="0" w:type="dxa"/>
            <w:right w:w="108" w:type="dxa"/>
          </w:tblCellMar>
        </w:tblPrEx>
        <w:trPr>
          <w:trHeight w:val="410"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1</w:t>
            </w:r>
            <w:r>
              <w:rPr>
                <w:sz w:val="24"/>
              </w:rPr>
              <w:t>0.</w:t>
            </w:r>
            <w:r>
              <w:rPr>
                <w:rFonts w:hint="eastAsia"/>
                <w:sz w:val="24"/>
              </w:rPr>
              <w:t>13</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bCs/>
                <w:snapToGrid w:val="0"/>
                <w:kern w:val="0"/>
                <w:sz w:val="24"/>
              </w:rPr>
              <w:t>招标代理服务费及工程量清单和最高投标限价编制费</w:t>
            </w:r>
          </w:p>
        </w:tc>
        <w:tc>
          <w:tcPr>
            <w:tcW w:w="533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sz w:val="24"/>
              </w:rPr>
            </w:pPr>
            <w:r>
              <w:rPr>
                <w:rFonts w:hint="eastAsia" w:ascii="宋体" w:hAnsi="宋体"/>
                <w:sz w:val="24"/>
              </w:rPr>
              <w:t>招标代理服务费和工程量清单和最高投标限价编制费用</w:t>
            </w:r>
          </w:p>
          <w:p>
            <w:pPr>
              <w:snapToGrid w:val="0"/>
              <w:ind w:firstLine="0" w:firstLineChars="0"/>
              <w:rPr>
                <w:rFonts w:ascii="宋体" w:hAnsi="宋体"/>
                <w:sz w:val="24"/>
              </w:rPr>
            </w:pPr>
            <w:r>
              <w:rPr>
                <w:rFonts w:hint="eastAsia" w:ascii="宋体" w:hAnsi="宋体"/>
                <w:sz w:val="24"/>
              </w:rPr>
              <w:t>1、中标人须向肥东县公共资源交易有限公司缴纳招标代理服务费和工程量清单和最高投标限价编制费，可以采用转账方式。</w:t>
            </w:r>
          </w:p>
          <w:p>
            <w:pPr>
              <w:snapToGrid w:val="0"/>
              <w:ind w:firstLine="0" w:firstLineChars="0"/>
              <w:rPr>
                <w:rFonts w:ascii="宋体" w:hAnsi="宋体"/>
                <w:sz w:val="24"/>
              </w:rPr>
            </w:pPr>
            <w:r>
              <w:rPr>
                <w:rFonts w:hint="eastAsia" w:ascii="宋体" w:hAnsi="宋体"/>
                <w:sz w:val="24"/>
              </w:rPr>
              <w:t>2、招标代理服务费：以中标价为计算基数按照差额定率累进法，分标段按下表收费标准收取。</w:t>
            </w:r>
          </w:p>
          <w:tbl>
            <w:tblPr>
              <w:tblStyle w:val="5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9"/>
              <w:gridCol w:w="1071"/>
              <w:gridCol w:w="1400"/>
              <w:gridCol w:w="1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snapToGrid w:val="0"/>
                    <w:ind w:firstLine="0" w:firstLineChars="0"/>
                    <w:rPr>
                      <w:rFonts w:ascii="宋体" w:hAnsi="宋体"/>
                      <w:sz w:val="24"/>
                    </w:rPr>
                  </w:pPr>
                  <w:r>
                    <w:rPr>
                      <w:rFonts w:hint="eastAsia" w:ascii="宋体" w:hAnsi="宋体"/>
                      <w:sz w:val="24"/>
                    </w:rPr>
                    <w:t>中标金额</w:t>
                  </w:r>
                </w:p>
              </w:tc>
              <w:tc>
                <w:tcPr>
                  <w:tcW w:w="1071" w:type="dxa"/>
                </w:tcPr>
                <w:p>
                  <w:pPr>
                    <w:snapToGrid w:val="0"/>
                    <w:ind w:firstLine="0" w:firstLineChars="0"/>
                    <w:rPr>
                      <w:rFonts w:ascii="宋体" w:hAnsi="宋体"/>
                      <w:sz w:val="24"/>
                    </w:rPr>
                  </w:pPr>
                  <w:r>
                    <w:rPr>
                      <w:rFonts w:hint="eastAsia" w:ascii="宋体" w:hAnsi="宋体"/>
                      <w:sz w:val="24"/>
                    </w:rPr>
                    <w:t>货物招标</w:t>
                  </w:r>
                </w:p>
              </w:tc>
              <w:tc>
                <w:tcPr>
                  <w:tcW w:w="1400" w:type="dxa"/>
                </w:tcPr>
                <w:p>
                  <w:pPr>
                    <w:snapToGrid w:val="0"/>
                    <w:ind w:firstLine="0" w:firstLineChars="0"/>
                    <w:rPr>
                      <w:rFonts w:ascii="宋体" w:hAnsi="宋体"/>
                      <w:sz w:val="24"/>
                    </w:rPr>
                  </w:pPr>
                  <w:r>
                    <w:rPr>
                      <w:rFonts w:hint="eastAsia" w:ascii="宋体" w:hAnsi="宋体"/>
                      <w:sz w:val="24"/>
                    </w:rPr>
                    <w:t>服务招标</w:t>
                  </w:r>
                </w:p>
              </w:tc>
              <w:tc>
                <w:tcPr>
                  <w:tcW w:w="1400" w:type="dxa"/>
                </w:tcPr>
                <w:p>
                  <w:pPr>
                    <w:snapToGrid w:val="0"/>
                    <w:ind w:firstLine="0" w:firstLineChars="0"/>
                    <w:rPr>
                      <w:rFonts w:ascii="宋体" w:hAnsi="宋体"/>
                      <w:sz w:val="24"/>
                    </w:rPr>
                  </w:pPr>
                  <w:r>
                    <w:rPr>
                      <w:rFonts w:hint="eastAsia" w:ascii="宋体" w:hAnsi="宋体"/>
                      <w:sz w:val="24"/>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snapToGrid w:val="0"/>
                    <w:ind w:firstLine="0" w:firstLineChars="0"/>
                    <w:rPr>
                      <w:rFonts w:ascii="宋体" w:hAnsi="宋体"/>
                      <w:sz w:val="24"/>
                    </w:rPr>
                  </w:pPr>
                  <w:r>
                    <w:rPr>
                      <w:rFonts w:hint="eastAsia" w:ascii="宋体" w:hAnsi="宋体"/>
                      <w:sz w:val="24"/>
                    </w:rPr>
                    <w:t>100万元以下（含100万元）</w:t>
                  </w:r>
                </w:p>
              </w:tc>
              <w:tc>
                <w:tcPr>
                  <w:tcW w:w="1071" w:type="dxa"/>
                </w:tcPr>
                <w:p>
                  <w:pPr>
                    <w:snapToGrid w:val="0"/>
                    <w:ind w:firstLine="0" w:firstLineChars="0"/>
                    <w:rPr>
                      <w:rFonts w:ascii="宋体" w:hAnsi="宋体"/>
                      <w:sz w:val="24"/>
                    </w:rPr>
                  </w:pPr>
                  <w:r>
                    <w:rPr>
                      <w:rFonts w:hint="eastAsia" w:ascii="宋体" w:hAnsi="宋体"/>
                      <w:sz w:val="24"/>
                    </w:rPr>
                    <w:t>1.5%</w:t>
                  </w:r>
                </w:p>
              </w:tc>
              <w:tc>
                <w:tcPr>
                  <w:tcW w:w="1400" w:type="dxa"/>
                </w:tcPr>
                <w:p>
                  <w:pPr>
                    <w:snapToGrid w:val="0"/>
                    <w:ind w:firstLine="0" w:firstLineChars="0"/>
                    <w:rPr>
                      <w:rFonts w:ascii="宋体" w:hAnsi="宋体"/>
                      <w:sz w:val="24"/>
                    </w:rPr>
                  </w:pPr>
                  <w:r>
                    <w:rPr>
                      <w:rFonts w:hint="eastAsia" w:ascii="宋体" w:hAnsi="宋体"/>
                      <w:sz w:val="24"/>
                    </w:rPr>
                    <w:t>1.5%</w:t>
                  </w:r>
                </w:p>
              </w:tc>
              <w:tc>
                <w:tcPr>
                  <w:tcW w:w="1400" w:type="dxa"/>
                </w:tcPr>
                <w:p>
                  <w:pPr>
                    <w:snapToGrid w:val="0"/>
                    <w:ind w:firstLine="0" w:firstLineChars="0"/>
                    <w:rPr>
                      <w:rFonts w:ascii="宋体" w:hAnsi="宋体"/>
                      <w:sz w:val="24"/>
                    </w:rPr>
                  </w:pPr>
                  <w:r>
                    <w:rPr>
                      <w:rFonts w:hint="eastAsia" w:ascii="宋体" w:hAnsi="宋体"/>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snapToGrid w:val="0"/>
                    <w:ind w:firstLine="0" w:firstLineChars="0"/>
                    <w:rPr>
                      <w:rFonts w:ascii="宋体" w:hAnsi="宋体"/>
                      <w:sz w:val="24"/>
                    </w:rPr>
                  </w:pPr>
                  <w:r>
                    <w:rPr>
                      <w:rFonts w:hint="eastAsia" w:ascii="宋体" w:hAnsi="宋体"/>
                      <w:sz w:val="24"/>
                    </w:rPr>
                    <w:t>100万元-500万元（含500万元）</w:t>
                  </w:r>
                </w:p>
              </w:tc>
              <w:tc>
                <w:tcPr>
                  <w:tcW w:w="1071" w:type="dxa"/>
                </w:tcPr>
                <w:p>
                  <w:pPr>
                    <w:snapToGrid w:val="0"/>
                    <w:ind w:firstLine="0" w:firstLineChars="0"/>
                    <w:rPr>
                      <w:rFonts w:ascii="宋体" w:hAnsi="宋体"/>
                      <w:sz w:val="24"/>
                    </w:rPr>
                  </w:pPr>
                  <w:r>
                    <w:rPr>
                      <w:rFonts w:hint="eastAsia" w:ascii="宋体" w:hAnsi="宋体"/>
                      <w:sz w:val="24"/>
                    </w:rPr>
                    <w:t>1.1%</w:t>
                  </w:r>
                </w:p>
              </w:tc>
              <w:tc>
                <w:tcPr>
                  <w:tcW w:w="1400" w:type="dxa"/>
                </w:tcPr>
                <w:p>
                  <w:pPr>
                    <w:snapToGrid w:val="0"/>
                    <w:ind w:firstLine="0" w:firstLineChars="0"/>
                    <w:rPr>
                      <w:rFonts w:ascii="宋体" w:hAnsi="宋体"/>
                      <w:sz w:val="24"/>
                    </w:rPr>
                  </w:pPr>
                  <w:r>
                    <w:rPr>
                      <w:rFonts w:hint="eastAsia" w:ascii="宋体" w:hAnsi="宋体"/>
                      <w:sz w:val="24"/>
                    </w:rPr>
                    <w:t>0.8%</w:t>
                  </w:r>
                </w:p>
              </w:tc>
              <w:tc>
                <w:tcPr>
                  <w:tcW w:w="1400" w:type="dxa"/>
                </w:tcPr>
                <w:p>
                  <w:pPr>
                    <w:snapToGrid w:val="0"/>
                    <w:ind w:firstLine="0" w:firstLineChars="0"/>
                    <w:rPr>
                      <w:rFonts w:ascii="宋体" w:hAnsi="宋体"/>
                      <w:sz w:val="24"/>
                    </w:rPr>
                  </w:pPr>
                  <w:r>
                    <w:rPr>
                      <w:rFonts w:hint="eastAsia" w:ascii="宋体" w:hAnsi="宋体"/>
                      <w:sz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snapToGrid w:val="0"/>
                    <w:ind w:firstLine="0" w:firstLineChars="0"/>
                    <w:rPr>
                      <w:rFonts w:ascii="宋体" w:hAnsi="宋体"/>
                      <w:sz w:val="24"/>
                    </w:rPr>
                  </w:pPr>
                  <w:r>
                    <w:rPr>
                      <w:rFonts w:hint="eastAsia" w:ascii="宋体" w:hAnsi="宋体"/>
                      <w:sz w:val="24"/>
                    </w:rPr>
                    <w:t>500 万元-1000万元（含1000万元）</w:t>
                  </w:r>
                </w:p>
              </w:tc>
              <w:tc>
                <w:tcPr>
                  <w:tcW w:w="1071" w:type="dxa"/>
                </w:tcPr>
                <w:p>
                  <w:pPr>
                    <w:snapToGrid w:val="0"/>
                    <w:ind w:firstLine="0" w:firstLineChars="0"/>
                    <w:rPr>
                      <w:rFonts w:ascii="宋体" w:hAnsi="宋体"/>
                      <w:sz w:val="24"/>
                    </w:rPr>
                  </w:pPr>
                  <w:r>
                    <w:rPr>
                      <w:rFonts w:hint="eastAsia" w:ascii="宋体" w:hAnsi="宋体"/>
                      <w:sz w:val="24"/>
                    </w:rPr>
                    <w:t>0.8%</w:t>
                  </w:r>
                </w:p>
              </w:tc>
              <w:tc>
                <w:tcPr>
                  <w:tcW w:w="1400" w:type="dxa"/>
                </w:tcPr>
                <w:p>
                  <w:pPr>
                    <w:snapToGrid w:val="0"/>
                    <w:ind w:firstLine="0" w:firstLineChars="0"/>
                    <w:rPr>
                      <w:rFonts w:ascii="宋体" w:hAnsi="宋体"/>
                      <w:sz w:val="24"/>
                    </w:rPr>
                  </w:pPr>
                  <w:r>
                    <w:rPr>
                      <w:rFonts w:hint="eastAsia" w:ascii="宋体" w:hAnsi="宋体"/>
                      <w:sz w:val="24"/>
                    </w:rPr>
                    <w:t>0.45%</w:t>
                  </w:r>
                </w:p>
              </w:tc>
              <w:tc>
                <w:tcPr>
                  <w:tcW w:w="1400" w:type="dxa"/>
                </w:tcPr>
                <w:p>
                  <w:pPr>
                    <w:snapToGrid w:val="0"/>
                    <w:ind w:firstLine="0" w:firstLineChars="0"/>
                    <w:rPr>
                      <w:rFonts w:ascii="宋体" w:hAnsi="宋体"/>
                      <w:sz w:val="24"/>
                    </w:rPr>
                  </w:pPr>
                  <w:r>
                    <w:rPr>
                      <w:rFonts w:hint="eastAsia" w:ascii="宋体" w:hAnsi="宋体"/>
                      <w:sz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snapToGrid w:val="0"/>
                    <w:ind w:firstLine="0" w:firstLineChars="0"/>
                    <w:rPr>
                      <w:rFonts w:ascii="宋体" w:hAnsi="宋体"/>
                      <w:sz w:val="24"/>
                    </w:rPr>
                  </w:pPr>
                  <w:r>
                    <w:rPr>
                      <w:rFonts w:hint="eastAsia" w:ascii="宋体" w:hAnsi="宋体"/>
                      <w:sz w:val="24"/>
                    </w:rPr>
                    <w:t>1000万元-5000万元（含5000万元）</w:t>
                  </w:r>
                </w:p>
              </w:tc>
              <w:tc>
                <w:tcPr>
                  <w:tcW w:w="1071" w:type="dxa"/>
                </w:tcPr>
                <w:p>
                  <w:pPr>
                    <w:snapToGrid w:val="0"/>
                    <w:ind w:firstLine="0" w:firstLineChars="0"/>
                    <w:rPr>
                      <w:rFonts w:ascii="宋体" w:hAnsi="宋体"/>
                      <w:sz w:val="24"/>
                    </w:rPr>
                  </w:pPr>
                  <w:r>
                    <w:rPr>
                      <w:rFonts w:hint="eastAsia" w:ascii="宋体" w:hAnsi="宋体"/>
                      <w:sz w:val="24"/>
                    </w:rPr>
                    <w:t>0.5%</w:t>
                  </w:r>
                </w:p>
              </w:tc>
              <w:tc>
                <w:tcPr>
                  <w:tcW w:w="1400" w:type="dxa"/>
                </w:tcPr>
                <w:p>
                  <w:pPr>
                    <w:snapToGrid w:val="0"/>
                    <w:ind w:firstLine="0" w:firstLineChars="0"/>
                    <w:rPr>
                      <w:rFonts w:ascii="宋体" w:hAnsi="宋体"/>
                      <w:sz w:val="24"/>
                    </w:rPr>
                  </w:pPr>
                  <w:r>
                    <w:rPr>
                      <w:rFonts w:hint="eastAsia" w:ascii="宋体" w:hAnsi="宋体"/>
                      <w:sz w:val="24"/>
                    </w:rPr>
                    <w:t>0.25%</w:t>
                  </w:r>
                </w:p>
              </w:tc>
              <w:tc>
                <w:tcPr>
                  <w:tcW w:w="1400" w:type="dxa"/>
                </w:tcPr>
                <w:p>
                  <w:pPr>
                    <w:snapToGrid w:val="0"/>
                    <w:ind w:firstLine="0" w:firstLineChars="0"/>
                    <w:rPr>
                      <w:rFonts w:ascii="宋体" w:hAnsi="宋体"/>
                      <w:sz w:val="24"/>
                    </w:rPr>
                  </w:pPr>
                  <w:r>
                    <w:rPr>
                      <w:rFonts w:hint="eastAsia" w:ascii="宋体" w:hAnsi="宋体"/>
                      <w:sz w:val="24"/>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snapToGrid w:val="0"/>
                    <w:ind w:firstLine="0" w:firstLineChars="0"/>
                    <w:rPr>
                      <w:rFonts w:ascii="宋体" w:hAnsi="宋体"/>
                      <w:sz w:val="24"/>
                    </w:rPr>
                  </w:pPr>
                  <w:r>
                    <w:rPr>
                      <w:rFonts w:hint="eastAsia" w:ascii="宋体" w:hAnsi="宋体"/>
                      <w:sz w:val="24"/>
                    </w:rPr>
                    <w:t>5000万元-1亿元（含1亿元）</w:t>
                  </w:r>
                </w:p>
              </w:tc>
              <w:tc>
                <w:tcPr>
                  <w:tcW w:w="1071" w:type="dxa"/>
                </w:tcPr>
                <w:p>
                  <w:pPr>
                    <w:snapToGrid w:val="0"/>
                    <w:ind w:firstLine="0" w:firstLineChars="0"/>
                    <w:rPr>
                      <w:rFonts w:ascii="宋体" w:hAnsi="宋体"/>
                      <w:sz w:val="24"/>
                    </w:rPr>
                  </w:pPr>
                  <w:r>
                    <w:rPr>
                      <w:rFonts w:hint="eastAsia" w:ascii="宋体" w:hAnsi="宋体"/>
                      <w:sz w:val="24"/>
                    </w:rPr>
                    <w:t>0.25%</w:t>
                  </w:r>
                </w:p>
              </w:tc>
              <w:tc>
                <w:tcPr>
                  <w:tcW w:w="1400" w:type="dxa"/>
                </w:tcPr>
                <w:p>
                  <w:pPr>
                    <w:snapToGrid w:val="0"/>
                    <w:ind w:firstLine="0" w:firstLineChars="0"/>
                    <w:rPr>
                      <w:rFonts w:ascii="宋体" w:hAnsi="宋体"/>
                      <w:sz w:val="24"/>
                    </w:rPr>
                  </w:pPr>
                  <w:r>
                    <w:rPr>
                      <w:rFonts w:hint="eastAsia" w:ascii="宋体" w:hAnsi="宋体"/>
                      <w:sz w:val="24"/>
                    </w:rPr>
                    <w:t>0.1%</w:t>
                  </w:r>
                </w:p>
              </w:tc>
              <w:tc>
                <w:tcPr>
                  <w:tcW w:w="1400" w:type="dxa"/>
                </w:tcPr>
                <w:p>
                  <w:pPr>
                    <w:snapToGrid w:val="0"/>
                    <w:ind w:firstLine="0" w:firstLineChars="0"/>
                    <w:rPr>
                      <w:rFonts w:ascii="宋体" w:hAnsi="宋体"/>
                      <w:sz w:val="24"/>
                    </w:rPr>
                  </w:pPr>
                  <w:r>
                    <w:rPr>
                      <w:rFonts w:hint="eastAsia" w:ascii="宋体" w:hAnsi="宋体"/>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snapToGrid w:val="0"/>
                    <w:ind w:firstLine="0" w:firstLineChars="0"/>
                    <w:rPr>
                      <w:rFonts w:ascii="宋体" w:hAnsi="宋体"/>
                      <w:sz w:val="24"/>
                    </w:rPr>
                  </w:pPr>
                  <w:r>
                    <w:rPr>
                      <w:rFonts w:hint="eastAsia" w:ascii="宋体" w:hAnsi="宋体"/>
                      <w:sz w:val="24"/>
                    </w:rPr>
                    <w:t>1亿元-10亿元（含10亿元）</w:t>
                  </w:r>
                </w:p>
              </w:tc>
              <w:tc>
                <w:tcPr>
                  <w:tcW w:w="1071" w:type="dxa"/>
                </w:tcPr>
                <w:p>
                  <w:pPr>
                    <w:snapToGrid w:val="0"/>
                    <w:ind w:firstLine="0" w:firstLineChars="0"/>
                    <w:rPr>
                      <w:rFonts w:ascii="宋体" w:hAnsi="宋体"/>
                      <w:sz w:val="24"/>
                    </w:rPr>
                  </w:pPr>
                  <w:r>
                    <w:rPr>
                      <w:rFonts w:hint="eastAsia" w:ascii="宋体" w:hAnsi="宋体"/>
                      <w:sz w:val="24"/>
                    </w:rPr>
                    <w:t>0.05%</w:t>
                  </w:r>
                </w:p>
              </w:tc>
              <w:tc>
                <w:tcPr>
                  <w:tcW w:w="1400" w:type="dxa"/>
                </w:tcPr>
                <w:p>
                  <w:pPr>
                    <w:snapToGrid w:val="0"/>
                    <w:ind w:firstLine="0" w:firstLineChars="0"/>
                    <w:rPr>
                      <w:rFonts w:ascii="宋体" w:hAnsi="宋体"/>
                      <w:sz w:val="24"/>
                    </w:rPr>
                  </w:pPr>
                  <w:r>
                    <w:rPr>
                      <w:rFonts w:hint="eastAsia" w:ascii="宋体" w:hAnsi="宋体"/>
                      <w:sz w:val="24"/>
                    </w:rPr>
                    <w:t>0.05%</w:t>
                  </w:r>
                </w:p>
              </w:tc>
              <w:tc>
                <w:tcPr>
                  <w:tcW w:w="1400" w:type="dxa"/>
                </w:tcPr>
                <w:p>
                  <w:pPr>
                    <w:snapToGrid w:val="0"/>
                    <w:ind w:firstLine="0" w:firstLineChars="0"/>
                    <w:rPr>
                      <w:rFonts w:ascii="宋体" w:hAnsi="宋体"/>
                      <w:sz w:val="24"/>
                    </w:rPr>
                  </w:pPr>
                  <w:r>
                    <w:rPr>
                      <w:rFonts w:hint="eastAsia" w:ascii="宋体" w:hAnsi="宋体"/>
                      <w:sz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snapToGrid w:val="0"/>
                    <w:ind w:firstLine="0" w:firstLineChars="0"/>
                    <w:rPr>
                      <w:rFonts w:ascii="宋体" w:hAnsi="宋体"/>
                      <w:sz w:val="24"/>
                    </w:rPr>
                  </w:pPr>
                  <w:r>
                    <w:rPr>
                      <w:rFonts w:hint="eastAsia" w:ascii="宋体" w:hAnsi="宋体"/>
                      <w:sz w:val="24"/>
                    </w:rPr>
                    <w:t>10亿元以上</w:t>
                  </w:r>
                </w:p>
              </w:tc>
              <w:tc>
                <w:tcPr>
                  <w:tcW w:w="1071" w:type="dxa"/>
                </w:tcPr>
                <w:p>
                  <w:pPr>
                    <w:snapToGrid w:val="0"/>
                    <w:ind w:firstLine="0" w:firstLineChars="0"/>
                    <w:rPr>
                      <w:rFonts w:ascii="宋体" w:hAnsi="宋体"/>
                      <w:sz w:val="24"/>
                    </w:rPr>
                  </w:pPr>
                  <w:r>
                    <w:rPr>
                      <w:rFonts w:hint="eastAsia" w:ascii="宋体" w:hAnsi="宋体"/>
                      <w:sz w:val="24"/>
                    </w:rPr>
                    <w:t>0.01%</w:t>
                  </w:r>
                </w:p>
              </w:tc>
              <w:tc>
                <w:tcPr>
                  <w:tcW w:w="1400" w:type="dxa"/>
                </w:tcPr>
                <w:p>
                  <w:pPr>
                    <w:snapToGrid w:val="0"/>
                    <w:ind w:firstLine="0" w:firstLineChars="0"/>
                    <w:rPr>
                      <w:rFonts w:ascii="宋体" w:hAnsi="宋体"/>
                      <w:sz w:val="24"/>
                    </w:rPr>
                  </w:pPr>
                  <w:r>
                    <w:rPr>
                      <w:rFonts w:hint="eastAsia" w:ascii="宋体" w:hAnsi="宋体"/>
                      <w:sz w:val="24"/>
                    </w:rPr>
                    <w:t>0.01%</w:t>
                  </w:r>
                </w:p>
              </w:tc>
              <w:tc>
                <w:tcPr>
                  <w:tcW w:w="1400" w:type="dxa"/>
                </w:tcPr>
                <w:p>
                  <w:pPr>
                    <w:snapToGrid w:val="0"/>
                    <w:ind w:firstLine="0" w:firstLineChars="0"/>
                    <w:rPr>
                      <w:rFonts w:ascii="宋体" w:hAnsi="宋体"/>
                      <w:sz w:val="24"/>
                    </w:rPr>
                  </w:pPr>
                  <w:r>
                    <w:rPr>
                      <w:rFonts w:hint="eastAsia" w:ascii="宋体" w:hAnsi="宋体"/>
                      <w:sz w:val="24"/>
                    </w:rPr>
                    <w:t>0.01%</w:t>
                  </w:r>
                </w:p>
              </w:tc>
            </w:tr>
          </w:tbl>
          <w:p>
            <w:pPr>
              <w:snapToGrid w:val="0"/>
              <w:ind w:firstLine="0" w:firstLineChars="0"/>
              <w:rPr>
                <w:rFonts w:ascii="宋体" w:hAnsi="宋体"/>
                <w:sz w:val="24"/>
              </w:rPr>
            </w:pPr>
            <w:r>
              <w:rPr>
                <w:rFonts w:hint="eastAsia" w:ascii="宋体" w:hAnsi="宋体"/>
                <w:sz w:val="24"/>
              </w:rPr>
              <w:t>注：招标代理服务费按差额定率累进法计算。例如：某工程招标代理业务中标金额为 6000 万元，计算招标代理服务费如下：</w:t>
            </w:r>
          </w:p>
          <w:p>
            <w:pPr>
              <w:snapToGrid w:val="0"/>
              <w:ind w:firstLine="0" w:firstLineChars="0"/>
              <w:rPr>
                <w:rFonts w:ascii="宋体" w:hAnsi="宋体"/>
                <w:sz w:val="24"/>
              </w:rPr>
            </w:pPr>
            <w:r>
              <w:rPr>
                <w:rFonts w:hint="eastAsia" w:ascii="宋体" w:hAnsi="宋体"/>
                <w:sz w:val="24"/>
              </w:rPr>
              <w:t>100 万元×1.0％＝1万元</w:t>
            </w:r>
          </w:p>
          <w:p>
            <w:pPr>
              <w:snapToGrid w:val="0"/>
              <w:ind w:firstLine="0" w:firstLineChars="0"/>
              <w:rPr>
                <w:rFonts w:ascii="宋体" w:hAnsi="宋体"/>
                <w:sz w:val="24"/>
              </w:rPr>
            </w:pPr>
            <w:r>
              <w:rPr>
                <w:rFonts w:hint="eastAsia" w:ascii="宋体" w:hAnsi="宋体"/>
                <w:sz w:val="24"/>
              </w:rPr>
              <w:t>（500－100）万元×0.7％＝2.8 万元</w:t>
            </w:r>
          </w:p>
          <w:p>
            <w:pPr>
              <w:snapToGrid w:val="0"/>
              <w:ind w:firstLine="0" w:firstLineChars="0"/>
              <w:rPr>
                <w:rFonts w:ascii="宋体" w:hAnsi="宋体"/>
                <w:sz w:val="24"/>
              </w:rPr>
            </w:pPr>
            <w:r>
              <w:rPr>
                <w:rFonts w:hint="eastAsia" w:ascii="宋体" w:hAnsi="宋体"/>
                <w:sz w:val="24"/>
              </w:rPr>
              <w:t>（1000－500）万元×0.55％×＝2.75万元</w:t>
            </w:r>
          </w:p>
          <w:p>
            <w:pPr>
              <w:snapToGrid w:val="0"/>
              <w:ind w:firstLine="0" w:firstLineChars="0"/>
              <w:rPr>
                <w:rFonts w:ascii="宋体" w:hAnsi="宋体"/>
                <w:sz w:val="24"/>
              </w:rPr>
            </w:pPr>
            <w:r>
              <w:rPr>
                <w:rFonts w:hint="eastAsia" w:ascii="宋体" w:hAnsi="宋体"/>
                <w:sz w:val="24"/>
              </w:rPr>
              <w:t>（5000－1000）万元×0.35％＝14万元</w:t>
            </w:r>
          </w:p>
          <w:p>
            <w:pPr>
              <w:snapToGrid w:val="0"/>
              <w:ind w:firstLine="0" w:firstLineChars="0"/>
              <w:rPr>
                <w:rFonts w:ascii="宋体" w:hAnsi="宋体"/>
                <w:sz w:val="24"/>
              </w:rPr>
            </w:pPr>
            <w:r>
              <w:rPr>
                <w:rFonts w:hint="eastAsia" w:ascii="宋体" w:hAnsi="宋体"/>
                <w:sz w:val="24"/>
              </w:rPr>
              <w:t>（6000－5000）万元×0.2％＝2万元</w:t>
            </w:r>
          </w:p>
          <w:p>
            <w:pPr>
              <w:snapToGrid w:val="0"/>
              <w:ind w:firstLine="0" w:firstLineChars="0"/>
              <w:rPr>
                <w:rFonts w:ascii="宋体" w:hAnsi="宋体"/>
                <w:sz w:val="24"/>
                <w:highlight w:val="none"/>
              </w:rPr>
            </w:pPr>
            <w:r>
              <w:rPr>
                <w:rFonts w:hint="eastAsia" w:ascii="宋体" w:hAnsi="宋体"/>
                <w:sz w:val="24"/>
              </w:rPr>
              <w:t>合计收费＝1＋2.8＋2.75＋14＋</w:t>
            </w:r>
            <w:r>
              <w:rPr>
                <w:rFonts w:hint="eastAsia" w:ascii="宋体" w:hAnsi="宋体"/>
                <w:sz w:val="24"/>
                <w:highlight w:val="none"/>
              </w:rPr>
              <w:t>2＝22.55(万元)</w:t>
            </w:r>
          </w:p>
          <w:p>
            <w:pPr>
              <w:numPr>
                <w:ilvl w:val="0"/>
                <w:numId w:val="0"/>
              </w:numPr>
              <w:snapToGrid w:val="0"/>
              <w:rPr>
                <w:rFonts w:hint="eastAsia" w:ascii="宋体" w:hAnsi="宋体"/>
                <w:highlight w:val="none"/>
                <w:lang w:eastAsia="zh-CN"/>
              </w:rPr>
            </w:pPr>
            <w:r>
              <w:rPr>
                <w:rFonts w:hint="eastAsia" w:ascii="宋体" w:hAnsi="宋体"/>
                <w:highlight w:val="none"/>
                <w:lang w:val="en-US" w:eastAsia="zh-CN"/>
              </w:rPr>
              <w:t>3、</w:t>
            </w:r>
            <w:r>
              <w:rPr>
                <w:rFonts w:hint="eastAsia" w:ascii="宋体" w:hAnsi="宋体"/>
                <w:highlight w:val="none"/>
              </w:rPr>
              <w:t>工程量清单和最高投标限价编制费：以中标价为计算基数，分标段按照</w:t>
            </w:r>
            <w:r>
              <w:rPr>
                <w:rFonts w:hint="eastAsia" w:ascii="宋体" w:hAnsi="宋体"/>
                <w:highlight w:val="none"/>
                <w:lang w:val="en-US" w:eastAsia="zh-CN"/>
              </w:rPr>
              <w:t>下列两个表中费率分别计算累计收取</w:t>
            </w:r>
            <w:r>
              <w:rPr>
                <w:rFonts w:hint="eastAsia" w:ascii="宋体" w:hAnsi="宋体"/>
                <w:highlight w:val="none"/>
              </w:rPr>
              <w:t>，</w:t>
            </w:r>
            <w:r>
              <w:rPr>
                <w:rFonts w:hint="eastAsia"/>
                <w:highlight w:val="none"/>
              </w:rPr>
              <w:t>每标段不足 1000元的按照1000元最低标准收取</w:t>
            </w:r>
            <w:r>
              <w:rPr>
                <w:rFonts w:hint="eastAsia" w:ascii="宋体" w:hAnsi="宋体"/>
                <w:highlight w:val="none"/>
                <w:lang w:eastAsia="zh-CN"/>
              </w:rPr>
              <w:t>，</w:t>
            </w:r>
            <w:r>
              <w:rPr>
                <w:rFonts w:hint="eastAsia" w:ascii="宋体" w:hAnsi="宋体"/>
                <w:highlight w:val="none"/>
                <w:lang w:val="en-US" w:eastAsia="zh-CN"/>
              </w:rPr>
              <w:t>投标人在报价单中不单列，包含在投标总价中，招标人不再单独计量支付。计算结果有小数的，小数点后四舍五入，保留到个位。</w:t>
            </w:r>
          </w:p>
          <w:p>
            <w:pPr>
              <w:numPr>
                <w:ilvl w:val="0"/>
                <w:numId w:val="0"/>
              </w:numPr>
              <w:snapToGrid w:val="0"/>
              <w:rPr>
                <w:rFonts w:hint="default" w:ascii="宋体" w:hAnsi="宋体" w:eastAsia="宋体"/>
                <w:highlight w:val="none"/>
                <w:lang w:val="en-US" w:eastAsia="zh-CN"/>
              </w:rPr>
            </w:pPr>
            <w:r>
              <w:rPr>
                <w:rFonts w:hint="eastAsia" w:ascii="宋体" w:hAnsi="宋体"/>
                <w:highlight w:val="none"/>
                <w:lang w:val="en-US" w:eastAsia="zh-CN"/>
              </w:rPr>
              <w:t>（1）工程量清单编制收费：</w:t>
            </w:r>
          </w:p>
          <w:tbl>
            <w:tblPr>
              <w:tblStyle w:val="5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3"/>
              <w:gridCol w:w="132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57" w:type="pc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numPr>
                      <w:ilvl w:val="0"/>
                      <w:numId w:val="0"/>
                    </w:numPr>
                    <w:snapToGrid w:val="0"/>
                    <w:spacing w:line="240" w:lineRule="auto"/>
                    <w:jc w:val="center"/>
                    <w:rPr>
                      <w:rFonts w:hint="eastAsia" w:ascii="宋体" w:hAnsi="宋体"/>
                      <w:highlight w:val="none"/>
                      <w:vertAlign w:val="baseline"/>
                      <w:lang w:val="en-US" w:eastAsia="zh-CN"/>
                    </w:rPr>
                  </w:pPr>
                </w:p>
                <w:p>
                  <w:pPr>
                    <w:numPr>
                      <w:ilvl w:val="0"/>
                      <w:numId w:val="0"/>
                    </w:numPr>
                    <w:snapToGrid w:val="0"/>
                    <w:spacing w:line="240" w:lineRule="auto"/>
                    <w:jc w:val="center"/>
                    <mc:AlternateContent>
                      <mc:Choice Requires="wpsCustomData">
                        <wpsCustomData:diagonalParaType/>
                      </mc:Choice>
                    </mc:AlternateContent>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中标金额（万元）</w:t>
                  </w:r>
                </w:p>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工程类型</w:t>
                  </w:r>
                </w:p>
              </w:tc>
              <w:tc>
                <w:tcPr>
                  <w:tcW w:w="1175" w:type="pct"/>
                  <w:noWrap w:val="0"/>
                  <w:vAlign w:val="top"/>
                </w:tcPr>
                <w:p>
                  <w:pPr>
                    <w:numPr>
                      <w:ilvl w:val="0"/>
                      <w:numId w:val="0"/>
                    </w:numPr>
                    <w:snapToGrid w:val="0"/>
                    <w:jc w:val="center"/>
                    <w:rPr>
                      <w:rFonts w:hint="eastAsia" w:ascii="宋体" w:hAnsi="宋体"/>
                      <w:highlight w:val="none"/>
                      <w:vertAlign w:val="baseline"/>
                      <w:lang w:val="en-US" w:eastAsia="zh-CN"/>
                    </w:rPr>
                  </w:pPr>
                </w:p>
                <w:p>
                  <w:pPr>
                    <w:numPr>
                      <w:ilvl w:val="0"/>
                      <w:numId w:val="0"/>
                    </w:numPr>
                    <w:snapToGrid w:val="0"/>
                    <w:jc w:val="center"/>
                    <w:rPr>
                      <w:rFonts w:hint="eastAsia" w:ascii="宋体" w:hAnsi="宋体"/>
                      <w:highlight w:val="none"/>
                      <w:vertAlign w:val="baseline"/>
                      <w:lang w:val="en-US" w:eastAsia="zh-CN"/>
                    </w:rPr>
                  </w:pPr>
                </w:p>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建筑工程</w:t>
                  </w:r>
                </w:p>
              </w:tc>
              <w:tc>
                <w:tcPr>
                  <w:tcW w:w="1666" w:type="pct"/>
                  <w:noWrap w:val="0"/>
                  <w:vAlign w:val="top"/>
                </w:tcPr>
                <w:p>
                  <w:pPr>
                    <w:numPr>
                      <w:ilvl w:val="0"/>
                      <w:numId w:val="0"/>
                    </w:numPr>
                    <w:snapToGrid w:val="0"/>
                    <w:jc w:val="center"/>
                    <w:rPr>
                      <w:rFonts w:hint="eastAsia" w:ascii="宋体" w:hAnsi="宋体"/>
                      <w:highlight w:val="none"/>
                      <w:vertAlign w:val="baseline"/>
                      <w:lang w:val="en-US" w:eastAsia="zh-CN"/>
                    </w:rPr>
                  </w:pPr>
                </w:p>
                <w:p>
                  <w:pPr>
                    <w:numPr>
                      <w:ilvl w:val="0"/>
                      <w:numId w:val="0"/>
                    </w:numPr>
                    <w:snapToGrid w:val="0"/>
                    <w:jc w:val="center"/>
                    <w:rPr>
                      <w:rFonts w:hint="eastAsia" w:ascii="宋体" w:hAnsi="宋体"/>
                      <w:highlight w:val="none"/>
                      <w:vertAlign w:val="baseline"/>
                      <w:lang w:val="en-US" w:eastAsia="zh-CN"/>
                    </w:rPr>
                  </w:pPr>
                </w:p>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top"/>
                </w:tcPr>
                <w:p>
                  <w:pPr>
                    <w:keepNext w:val="0"/>
                    <w:keepLines w:val="0"/>
                    <w:widowControl/>
                    <w:suppressLineNumbers w:val="0"/>
                    <w:jc w:val="center"/>
                    <w:rPr>
                      <w:rFonts w:hint="eastAsia" w:ascii="宋体" w:hAnsi="宋体"/>
                      <w:highlight w:val="none"/>
                      <w:vertAlign w:val="baseline"/>
                    </w:rPr>
                  </w:pPr>
                  <w:r>
                    <w:rPr>
                      <w:rFonts w:hint="eastAsia" w:ascii="宋体" w:hAnsi="宋体" w:eastAsia="宋体" w:cs="宋体"/>
                      <w:color w:val="000000"/>
                      <w:kern w:val="0"/>
                      <w:sz w:val="24"/>
                      <w:szCs w:val="24"/>
                      <w:highlight w:val="none"/>
                      <w:lang w:val="en-US" w:eastAsia="zh-CN" w:bidi="ar"/>
                    </w:rPr>
                    <w:t>100 以内</w:t>
                  </w:r>
                </w:p>
              </w:tc>
              <w:tc>
                <w:tcPr>
                  <w:tcW w:w="1175"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4.8‰</w:t>
                  </w:r>
                </w:p>
              </w:tc>
              <w:tc>
                <w:tcPr>
                  <w:tcW w:w="1666"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200以内</w:t>
                  </w:r>
                </w:p>
              </w:tc>
              <w:tc>
                <w:tcPr>
                  <w:tcW w:w="1175"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4.3‰</w:t>
                  </w:r>
                </w:p>
              </w:tc>
              <w:tc>
                <w:tcPr>
                  <w:tcW w:w="1666"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500以内</w:t>
                  </w:r>
                </w:p>
              </w:tc>
              <w:tc>
                <w:tcPr>
                  <w:tcW w:w="1175"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3.8‰</w:t>
                  </w:r>
                </w:p>
              </w:tc>
              <w:tc>
                <w:tcPr>
                  <w:tcW w:w="1666"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1000以内</w:t>
                  </w:r>
                </w:p>
              </w:tc>
              <w:tc>
                <w:tcPr>
                  <w:tcW w:w="1175"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3.4‰</w:t>
                  </w:r>
                </w:p>
              </w:tc>
              <w:tc>
                <w:tcPr>
                  <w:tcW w:w="1666"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2000以内</w:t>
                  </w:r>
                </w:p>
              </w:tc>
              <w:tc>
                <w:tcPr>
                  <w:tcW w:w="1175"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3.0‰</w:t>
                  </w:r>
                </w:p>
              </w:tc>
              <w:tc>
                <w:tcPr>
                  <w:tcW w:w="1666"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5000以内</w:t>
                  </w:r>
                </w:p>
              </w:tc>
              <w:tc>
                <w:tcPr>
                  <w:tcW w:w="1175"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2.8‰</w:t>
                  </w:r>
                </w:p>
              </w:tc>
              <w:tc>
                <w:tcPr>
                  <w:tcW w:w="1666"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10000以内</w:t>
                  </w:r>
                </w:p>
              </w:tc>
              <w:tc>
                <w:tcPr>
                  <w:tcW w:w="1175"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2.5‰</w:t>
                  </w:r>
                </w:p>
              </w:tc>
              <w:tc>
                <w:tcPr>
                  <w:tcW w:w="1666"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top"/>
                </w:tcPr>
                <w:p>
                  <w:pPr>
                    <w:numPr>
                      <w:ilvl w:val="0"/>
                      <w:numId w:val="0"/>
                    </w:numPr>
                    <w:snapToGrid w:val="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10000以上</w:t>
                  </w:r>
                </w:p>
              </w:tc>
              <w:tc>
                <w:tcPr>
                  <w:tcW w:w="1175"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2.3‰</w:t>
                  </w:r>
                </w:p>
              </w:tc>
              <w:tc>
                <w:tcPr>
                  <w:tcW w:w="1666" w:type="pct"/>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2.4‰</w:t>
                  </w:r>
                </w:p>
              </w:tc>
            </w:tr>
          </w:tbl>
          <w:p>
            <w:pPr>
              <w:numPr>
                <w:ilvl w:val="0"/>
                <w:numId w:val="0"/>
              </w:numPr>
              <w:snapToGrid w:val="0"/>
              <w:rPr>
                <w:rFonts w:hint="eastAsia" w:ascii="宋体" w:hAnsi="宋体" w:eastAsia="宋体" w:cs="Times New Roman"/>
                <w:highlight w:val="none"/>
                <w:lang w:val="en-US" w:eastAsia="zh-CN"/>
              </w:rPr>
            </w:pPr>
          </w:p>
          <w:p>
            <w:pPr>
              <w:numPr>
                <w:ilvl w:val="0"/>
                <w:numId w:val="0"/>
              </w:numPr>
              <w:snapToGrid w:val="0"/>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（2）最高投标限价编制收费：</w:t>
            </w:r>
          </w:p>
          <w:tbl>
            <w:tblPr>
              <w:tblStyle w:val="57"/>
              <w:tblW w:w="5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138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57" w:type="dxa"/>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numPr>
                      <w:ilvl w:val="0"/>
                      <w:numId w:val="0"/>
                    </w:numPr>
                    <w:snapToGrid w:val="0"/>
                    <w:spacing w:line="240" w:lineRule="auto"/>
                    <w:jc w:val="center"/>
                    <w:rPr>
                      <w:rFonts w:hint="eastAsia" w:ascii="宋体" w:hAnsi="宋体"/>
                      <w:highlight w:val="none"/>
                      <w:vertAlign w:val="baseline"/>
                      <w:lang w:val="en-US" w:eastAsia="zh-CN"/>
                    </w:rPr>
                  </w:pPr>
                </w:p>
                <w:p>
                  <w:pPr>
                    <w:numPr>
                      <w:ilvl w:val="0"/>
                      <w:numId w:val="0"/>
                    </w:numPr>
                    <w:snapToGrid w:val="0"/>
                    <w:spacing w:line="240" w:lineRule="auto"/>
                    <w:jc w:val="center"/>
                    <mc:AlternateContent>
                      <mc:Choice Requires="wpsCustomData">
                        <wpsCustomData:diagonalParaType/>
                      </mc:Choice>
                    </mc:AlternateContent>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中标金额（万元）</w:t>
                  </w:r>
                </w:p>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工程类型</w:t>
                  </w:r>
                </w:p>
              </w:tc>
              <w:tc>
                <w:tcPr>
                  <w:tcW w:w="1386" w:type="dxa"/>
                  <w:noWrap w:val="0"/>
                  <w:vAlign w:val="top"/>
                </w:tcPr>
                <w:p>
                  <w:pPr>
                    <w:numPr>
                      <w:ilvl w:val="0"/>
                      <w:numId w:val="0"/>
                    </w:numPr>
                    <w:snapToGrid w:val="0"/>
                    <w:ind w:left="0" w:leftChars="0" w:firstLine="0" w:firstLineChars="0"/>
                    <w:jc w:val="center"/>
                    <w:rPr>
                      <w:rFonts w:hint="eastAsia" w:ascii="宋体" w:hAnsi="宋体"/>
                      <w:highlight w:val="none"/>
                      <w:vertAlign w:val="baseline"/>
                      <w:lang w:val="en-US" w:eastAsia="zh-CN"/>
                    </w:rPr>
                  </w:pPr>
                </w:p>
                <w:p>
                  <w:pPr>
                    <w:numPr>
                      <w:ilvl w:val="0"/>
                      <w:numId w:val="0"/>
                    </w:numPr>
                    <w:snapToGrid w:val="0"/>
                    <w:ind w:left="0" w:leftChars="0" w:firstLine="0" w:firstLineChars="0"/>
                    <w:jc w:val="center"/>
                    <w:rPr>
                      <w:rFonts w:hint="eastAsia" w:ascii="宋体" w:hAnsi="宋体"/>
                      <w:highlight w:val="none"/>
                      <w:vertAlign w:val="baseline"/>
                      <w:lang w:val="en-US" w:eastAsia="zh-CN"/>
                    </w:rPr>
                  </w:pPr>
                </w:p>
                <w:p>
                  <w:pPr>
                    <w:numPr>
                      <w:ilvl w:val="0"/>
                      <w:numId w:val="0"/>
                    </w:numPr>
                    <w:snapToGrid w:val="0"/>
                    <w:ind w:left="0" w:leftChars="0" w:firstLine="0" w:firstLineChars="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建筑工程</w:t>
                  </w:r>
                </w:p>
              </w:tc>
              <w:tc>
                <w:tcPr>
                  <w:tcW w:w="1872" w:type="dxa"/>
                  <w:noWrap w:val="0"/>
                  <w:vAlign w:val="top"/>
                </w:tcPr>
                <w:p>
                  <w:pPr>
                    <w:numPr>
                      <w:ilvl w:val="0"/>
                      <w:numId w:val="0"/>
                    </w:numPr>
                    <w:snapToGrid w:val="0"/>
                    <w:ind w:left="0" w:leftChars="0" w:firstLine="0" w:firstLineChars="0"/>
                    <w:jc w:val="center"/>
                    <w:rPr>
                      <w:rFonts w:hint="eastAsia" w:ascii="宋体" w:hAnsi="宋体"/>
                      <w:highlight w:val="none"/>
                      <w:vertAlign w:val="baseline"/>
                      <w:lang w:val="en-US" w:eastAsia="zh-CN"/>
                    </w:rPr>
                  </w:pPr>
                </w:p>
                <w:p>
                  <w:pPr>
                    <w:numPr>
                      <w:ilvl w:val="0"/>
                      <w:numId w:val="0"/>
                    </w:numPr>
                    <w:snapToGrid w:val="0"/>
                    <w:ind w:left="0" w:leftChars="0" w:firstLine="0" w:firstLineChars="0"/>
                    <w:jc w:val="center"/>
                    <w:rPr>
                      <w:rFonts w:hint="eastAsia" w:ascii="宋体" w:hAnsi="宋体"/>
                      <w:highlight w:val="none"/>
                      <w:vertAlign w:val="baseline"/>
                      <w:lang w:val="en-US" w:eastAsia="zh-CN"/>
                    </w:rPr>
                  </w:pPr>
                </w:p>
                <w:p>
                  <w:pPr>
                    <w:numPr>
                      <w:ilvl w:val="0"/>
                      <w:numId w:val="0"/>
                    </w:numPr>
                    <w:snapToGrid w:val="0"/>
                    <w:ind w:left="0" w:leftChars="0" w:firstLine="0" w:firstLineChars="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noWrap w:val="0"/>
                  <w:vAlign w:val="top"/>
                </w:tcPr>
                <w:p>
                  <w:pPr>
                    <w:keepNext w:val="0"/>
                    <w:keepLines w:val="0"/>
                    <w:widowControl/>
                    <w:suppressLineNumbers w:val="0"/>
                    <w:jc w:val="center"/>
                    <w:rPr>
                      <w:rFonts w:hint="eastAsia" w:ascii="宋体" w:hAnsi="宋体"/>
                      <w:highlight w:val="none"/>
                      <w:vertAlign w:val="baseline"/>
                    </w:rPr>
                  </w:pPr>
                  <w:r>
                    <w:rPr>
                      <w:rFonts w:hint="eastAsia" w:ascii="宋体" w:hAnsi="宋体" w:eastAsia="宋体" w:cs="宋体"/>
                      <w:color w:val="000000"/>
                      <w:kern w:val="0"/>
                      <w:sz w:val="24"/>
                      <w:szCs w:val="24"/>
                      <w:highlight w:val="none"/>
                      <w:lang w:val="en-US" w:eastAsia="zh-CN" w:bidi="ar"/>
                    </w:rPr>
                    <w:t>100 以内</w:t>
                  </w:r>
                </w:p>
              </w:tc>
              <w:tc>
                <w:tcPr>
                  <w:tcW w:w="1386"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2.0</w:t>
                  </w:r>
                  <w:r>
                    <w:rPr>
                      <w:rFonts w:hint="eastAsia" w:ascii="宋体" w:hAnsi="宋体"/>
                      <w:highlight w:val="none"/>
                      <w:vertAlign w:val="baseline"/>
                      <w:lang w:val="en-US" w:eastAsia="zh-CN"/>
                    </w:rPr>
                    <w:t>‰</w:t>
                  </w:r>
                </w:p>
              </w:tc>
              <w:tc>
                <w:tcPr>
                  <w:tcW w:w="1872"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2.1</w:t>
                  </w:r>
                  <w:r>
                    <w:rPr>
                      <w:rFonts w:hint="eastAsia" w:ascii="宋体" w:hAnsi="宋体"/>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200以内</w:t>
                  </w:r>
                </w:p>
              </w:tc>
              <w:tc>
                <w:tcPr>
                  <w:tcW w:w="1386"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1.8</w:t>
                  </w:r>
                  <w:r>
                    <w:rPr>
                      <w:rFonts w:hint="eastAsia" w:ascii="宋体" w:hAnsi="宋体"/>
                      <w:highlight w:val="none"/>
                      <w:vertAlign w:val="baseline"/>
                      <w:lang w:val="en-US" w:eastAsia="zh-CN"/>
                    </w:rPr>
                    <w:t>‰</w:t>
                  </w:r>
                </w:p>
              </w:tc>
              <w:tc>
                <w:tcPr>
                  <w:tcW w:w="1872"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1.9</w:t>
                  </w:r>
                  <w:r>
                    <w:rPr>
                      <w:rFonts w:hint="eastAsia" w:ascii="宋体" w:hAnsi="宋体"/>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500以内</w:t>
                  </w:r>
                </w:p>
              </w:tc>
              <w:tc>
                <w:tcPr>
                  <w:tcW w:w="1386"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1.6</w:t>
                  </w:r>
                  <w:r>
                    <w:rPr>
                      <w:rFonts w:hint="eastAsia" w:ascii="宋体" w:hAnsi="宋体"/>
                      <w:highlight w:val="none"/>
                      <w:vertAlign w:val="baseline"/>
                      <w:lang w:val="en-US" w:eastAsia="zh-CN"/>
                    </w:rPr>
                    <w:t>‰</w:t>
                  </w:r>
                </w:p>
              </w:tc>
              <w:tc>
                <w:tcPr>
                  <w:tcW w:w="1872"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1.7</w:t>
                  </w:r>
                  <w:r>
                    <w:rPr>
                      <w:rFonts w:hint="eastAsia" w:ascii="宋体" w:hAnsi="宋体"/>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1000以内</w:t>
                  </w:r>
                </w:p>
              </w:tc>
              <w:tc>
                <w:tcPr>
                  <w:tcW w:w="1386"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1.4</w:t>
                  </w:r>
                  <w:r>
                    <w:rPr>
                      <w:rFonts w:hint="eastAsia" w:ascii="宋体" w:hAnsi="宋体"/>
                      <w:highlight w:val="none"/>
                      <w:vertAlign w:val="baseline"/>
                      <w:lang w:val="en-US" w:eastAsia="zh-CN"/>
                    </w:rPr>
                    <w:t>‰</w:t>
                  </w:r>
                </w:p>
              </w:tc>
              <w:tc>
                <w:tcPr>
                  <w:tcW w:w="1872"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1.6</w:t>
                  </w:r>
                  <w:r>
                    <w:rPr>
                      <w:rFonts w:hint="eastAsia" w:ascii="宋体" w:hAnsi="宋体"/>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2000以内</w:t>
                  </w:r>
                </w:p>
              </w:tc>
              <w:tc>
                <w:tcPr>
                  <w:tcW w:w="1386"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1.3</w:t>
                  </w:r>
                  <w:r>
                    <w:rPr>
                      <w:rFonts w:hint="eastAsia" w:ascii="宋体" w:hAnsi="宋体"/>
                      <w:highlight w:val="none"/>
                      <w:vertAlign w:val="baseline"/>
                      <w:lang w:val="en-US" w:eastAsia="zh-CN"/>
                    </w:rPr>
                    <w:t>‰</w:t>
                  </w:r>
                </w:p>
              </w:tc>
              <w:tc>
                <w:tcPr>
                  <w:tcW w:w="1872"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1.4</w:t>
                  </w:r>
                  <w:r>
                    <w:rPr>
                      <w:rFonts w:hint="eastAsia" w:ascii="宋体" w:hAnsi="宋体"/>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5000以内</w:t>
                  </w:r>
                </w:p>
              </w:tc>
              <w:tc>
                <w:tcPr>
                  <w:tcW w:w="1386"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1.2</w:t>
                  </w:r>
                  <w:r>
                    <w:rPr>
                      <w:rFonts w:hint="eastAsia" w:ascii="宋体" w:hAnsi="宋体"/>
                      <w:highlight w:val="none"/>
                      <w:vertAlign w:val="baseline"/>
                      <w:lang w:val="en-US" w:eastAsia="zh-CN"/>
                    </w:rPr>
                    <w:t>‰</w:t>
                  </w:r>
                </w:p>
              </w:tc>
              <w:tc>
                <w:tcPr>
                  <w:tcW w:w="1872"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1.3</w:t>
                  </w:r>
                  <w:r>
                    <w:rPr>
                      <w:rFonts w:hint="eastAsia" w:ascii="宋体" w:hAnsi="宋体"/>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highlight w:val="none"/>
                      <w:vertAlign w:val="baseline"/>
                      <w:lang w:val="en-US" w:eastAsia="zh-CN"/>
                    </w:rPr>
                    <w:t>10000以内</w:t>
                  </w:r>
                </w:p>
              </w:tc>
              <w:tc>
                <w:tcPr>
                  <w:tcW w:w="1386"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1.1</w:t>
                  </w:r>
                  <w:r>
                    <w:rPr>
                      <w:rFonts w:hint="eastAsia" w:ascii="宋体" w:hAnsi="宋体"/>
                      <w:highlight w:val="none"/>
                      <w:vertAlign w:val="baseline"/>
                      <w:lang w:val="en-US" w:eastAsia="zh-CN"/>
                    </w:rPr>
                    <w:t>‰</w:t>
                  </w:r>
                </w:p>
              </w:tc>
              <w:tc>
                <w:tcPr>
                  <w:tcW w:w="1872"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1.2</w:t>
                  </w:r>
                  <w:r>
                    <w:rPr>
                      <w:rFonts w:hint="eastAsia" w:ascii="宋体" w:hAnsi="宋体"/>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noWrap w:val="0"/>
                  <w:vAlign w:val="top"/>
                </w:tcPr>
                <w:p>
                  <w:pPr>
                    <w:numPr>
                      <w:ilvl w:val="0"/>
                      <w:numId w:val="0"/>
                    </w:numPr>
                    <w:snapToGrid w:val="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10000以上</w:t>
                  </w:r>
                </w:p>
              </w:tc>
              <w:tc>
                <w:tcPr>
                  <w:tcW w:w="1386"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1.0</w:t>
                  </w:r>
                  <w:r>
                    <w:rPr>
                      <w:rFonts w:hint="eastAsia" w:ascii="宋体" w:hAnsi="宋体"/>
                      <w:highlight w:val="none"/>
                      <w:vertAlign w:val="baseline"/>
                      <w:lang w:val="en-US" w:eastAsia="zh-CN"/>
                    </w:rPr>
                    <w:t>‰</w:t>
                  </w:r>
                </w:p>
              </w:tc>
              <w:tc>
                <w:tcPr>
                  <w:tcW w:w="1872" w:type="dxa"/>
                  <w:noWrap w:val="0"/>
                  <w:vAlign w:val="top"/>
                </w:tcPr>
                <w:p>
                  <w:pPr>
                    <w:numPr>
                      <w:ilvl w:val="0"/>
                      <w:numId w:val="0"/>
                    </w:numPr>
                    <w:snapToGrid w:val="0"/>
                    <w:jc w:val="center"/>
                    <w:rPr>
                      <w:rFonts w:hint="default" w:ascii="宋体" w:hAnsi="宋体" w:eastAsia="宋体"/>
                      <w:highlight w:val="none"/>
                      <w:vertAlign w:val="baseline"/>
                      <w:lang w:val="en-US" w:eastAsia="zh-CN"/>
                    </w:rPr>
                  </w:pPr>
                  <w:r>
                    <w:rPr>
                      <w:rFonts w:hint="eastAsia" w:ascii="宋体" w:hAnsi="宋体" w:eastAsia="宋体"/>
                      <w:highlight w:val="none"/>
                      <w:vertAlign w:val="baseline"/>
                      <w:lang w:val="en-US" w:eastAsia="zh-CN"/>
                    </w:rPr>
                    <w:t>1.1</w:t>
                  </w:r>
                  <w:r>
                    <w:rPr>
                      <w:rFonts w:hint="eastAsia" w:ascii="宋体" w:hAnsi="宋体"/>
                      <w:highlight w:val="none"/>
                      <w:vertAlign w:val="baseline"/>
                      <w:lang w:val="en-US" w:eastAsia="zh-CN"/>
                    </w:rPr>
                    <w:t>‰</w:t>
                  </w:r>
                </w:p>
              </w:tc>
            </w:tr>
          </w:tbl>
          <w:p>
            <w:pPr>
              <w:spacing w:line="400" w:lineRule="atLeast"/>
              <w:ind w:firstLine="0" w:firstLineChars="0"/>
              <w:rPr>
                <w:sz w:val="24"/>
              </w:rPr>
            </w:pPr>
          </w:p>
        </w:tc>
      </w:tr>
      <w:tr>
        <w:tblPrEx>
          <w:tblCellMar>
            <w:top w:w="0" w:type="dxa"/>
            <w:left w:w="108" w:type="dxa"/>
            <w:bottom w:w="0" w:type="dxa"/>
            <w:right w:w="108" w:type="dxa"/>
          </w:tblCellMar>
        </w:tblPrEx>
        <w:trPr>
          <w:trHeight w:val="472" w:hRule="atLeast"/>
        </w:trPr>
        <w:tc>
          <w:tcPr>
            <w:tcW w:w="995"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1</w:t>
            </w:r>
            <w:r>
              <w:rPr>
                <w:sz w:val="24"/>
              </w:rPr>
              <w:t>0.</w:t>
            </w:r>
            <w:r>
              <w:rPr>
                <w:rFonts w:hint="eastAsia"/>
                <w:sz w:val="24"/>
              </w:rPr>
              <w:t>14</w:t>
            </w:r>
          </w:p>
        </w:tc>
        <w:tc>
          <w:tcPr>
            <w:tcW w:w="2556" w:type="dxa"/>
            <w:tcBorders>
              <w:top w:val="single" w:color="auto" w:sz="4" w:space="0"/>
              <w:left w:val="single" w:color="auto" w:sz="4" w:space="0"/>
              <w:bottom w:val="single" w:color="auto" w:sz="4" w:space="0"/>
              <w:right w:val="single" w:color="auto" w:sz="4" w:space="0"/>
            </w:tcBorders>
            <w:vAlign w:val="center"/>
          </w:tcPr>
          <w:p>
            <w:pPr>
              <w:spacing w:line="400" w:lineRule="atLeast"/>
              <w:ind w:left="0" w:leftChars="0" w:firstLine="0" w:firstLineChars="0"/>
              <w:rPr>
                <w:sz w:val="24"/>
              </w:rPr>
            </w:pPr>
            <w:r>
              <w:rPr>
                <w:rFonts w:hint="eastAsia"/>
                <w:sz w:val="24"/>
                <w:highlight w:val="none"/>
              </w:rPr>
              <w:t>招标人补充的其他内容</w:t>
            </w:r>
          </w:p>
        </w:tc>
        <w:tc>
          <w:tcPr>
            <w:tcW w:w="533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r>
              <w:rPr>
                <w:rFonts w:hint="eastAsia"/>
                <w:sz w:val="24"/>
              </w:rPr>
              <w:t>1、特别提示：</w:t>
            </w:r>
            <w:r>
              <w:rPr>
                <w:sz w:val="24"/>
              </w:rPr>
              <w:t>因电子服务系统或电子交易系统出现软件设计或功能缺陷、运行异常等情况，可能影响招投标活动公平、公正进行的，招标人（或招标代理机构）有权中止或终止招投标活动，招投标各方免责。</w:t>
            </w:r>
          </w:p>
          <w:p>
            <w:pPr>
              <w:spacing w:line="400" w:lineRule="atLeast"/>
              <w:ind w:firstLine="0" w:firstLineChars="0"/>
              <w:rPr>
                <w:sz w:val="24"/>
              </w:rPr>
            </w:pPr>
            <w:r>
              <w:rPr>
                <w:rFonts w:hint="eastAsia"/>
                <w:sz w:val="24"/>
              </w:rPr>
              <w:t>2、投标人投标文件中填报人员及投标人按招标文件提出的最低要求填报派驻投标标段的其他管理和技术人员，经招标人审核后不得进行更换。除非招标文件另有约定，投标人派驻投标标段的项目经理及项目管理机构主要人员均应为投标单位在职人员（不含外聘人员、返聘人员、临时聘用人员），否则招标人有权取消其中标资格。</w:t>
            </w:r>
          </w:p>
          <w:p>
            <w:pPr>
              <w:spacing w:line="400" w:lineRule="atLeast"/>
              <w:ind w:firstLine="0" w:firstLineChars="0"/>
              <w:rPr>
                <w:rFonts w:hint="eastAsia" w:eastAsia="宋体"/>
                <w:lang w:val="en-US" w:eastAsia="zh-CN"/>
              </w:rPr>
            </w:pPr>
            <w:r>
              <w:rPr>
                <w:rFonts w:hint="eastAsia"/>
                <w:sz w:val="24"/>
              </w:rPr>
              <w:t>3、</w:t>
            </w:r>
            <w:r>
              <w:rPr>
                <w:sz w:val="24"/>
              </w:rPr>
              <w:t>对于合肥市行政区域内的依法必须招标的工程建设项目，招标人（或委托代理机构）在发布中标候选人公示时同时公开评标委员会的评分情况。包括商务文件、技术文件、报价文件评分等内容，其中技术文件还将公开评标委员会各成员评分（详见合肥市公共资源交易监督管理局2023年3月1 日发布的关于进一步规范评标情况公开工作的通知）。</w:t>
            </w:r>
          </w:p>
        </w:tc>
      </w:tr>
    </w:tbl>
    <w:p>
      <w:pPr>
        <w:spacing w:line="440" w:lineRule="exact"/>
        <w:ind w:firstLine="580"/>
        <w:jc w:val="center"/>
        <w:rPr>
          <w:rFonts w:eastAsia="黑体"/>
          <w:sz w:val="29"/>
          <w:szCs w:val="29"/>
        </w:rPr>
      </w:pPr>
    </w:p>
    <w:p>
      <w:pPr>
        <w:spacing w:line="400" w:lineRule="atLeast"/>
        <w:ind w:firstLine="0" w:firstLineChars="0"/>
        <w:rPr>
          <w:szCs w:val="21"/>
        </w:rPr>
        <w:sectPr>
          <w:footerReference r:id="rId12" w:type="default"/>
          <w:headerReference r:id="rId11" w:type="even"/>
          <w:footerReference r:id="rId13" w:type="even"/>
          <w:footnotePr>
            <w:numFmt w:val="decimalEnclosedCircleChinese"/>
            <w:numRestart w:val="eachPage"/>
          </w:footnotePr>
          <w:pgSz w:w="11907" w:h="16840"/>
          <w:pgMar w:top="1474" w:right="1474" w:bottom="1474" w:left="1474" w:header="799" w:footer="907" w:gutter="0"/>
          <w:cols w:space="720" w:num="1"/>
          <w:docGrid w:linePitch="271" w:charSpace="0"/>
        </w:sectPr>
      </w:pPr>
    </w:p>
    <w:p>
      <w:pPr>
        <w:keepNext/>
        <w:keepLines/>
        <w:spacing w:beforeLines="50" w:afterLines="50"/>
        <w:ind w:firstLine="0" w:firstLineChars="0"/>
        <w:jc w:val="center"/>
        <w:outlineLvl w:val="1"/>
        <w:rPr>
          <w:rFonts w:ascii="黑体" w:hAnsi="黑体" w:eastAsia="黑体"/>
          <w:bCs/>
          <w:sz w:val="32"/>
          <w:szCs w:val="32"/>
        </w:rPr>
      </w:pPr>
      <w:bookmarkStart w:id="19" w:name="_Toc283798416"/>
      <w:bookmarkStart w:id="20" w:name="_Toc14201199"/>
      <w:bookmarkStart w:id="21" w:name="_Toc460660062"/>
      <w:bookmarkStart w:id="22" w:name="_Toc11078137"/>
      <w:bookmarkStart w:id="23" w:name="_Toc421916975"/>
      <w:bookmarkStart w:id="24" w:name="_Toc460226720"/>
      <w:bookmarkStart w:id="25" w:name="_Toc13751851"/>
      <w:bookmarkStart w:id="26" w:name="_Toc36562771"/>
      <w:bookmarkStart w:id="27" w:name="_Toc133311680"/>
      <w:bookmarkStart w:id="28" w:name="_Toc131087819"/>
      <w:bookmarkStart w:id="29" w:name="_Toc138689338"/>
      <w:bookmarkStart w:id="30" w:name="_Toc460226989"/>
      <w:r>
        <w:rPr>
          <w:rFonts w:hint="eastAsia" w:ascii="黑体" w:hAnsi="黑体" w:eastAsia="黑体"/>
          <w:bCs/>
          <w:sz w:val="32"/>
          <w:szCs w:val="32"/>
        </w:rPr>
        <w:t>附录</w:t>
      </w:r>
      <w:r>
        <w:rPr>
          <w:rFonts w:ascii="黑体" w:hAnsi="黑体" w:eastAsia="黑体"/>
          <w:bCs/>
          <w:sz w:val="32"/>
          <w:szCs w:val="32"/>
        </w:rPr>
        <w:t xml:space="preserve">1  </w:t>
      </w:r>
      <w:r>
        <w:rPr>
          <w:rFonts w:hint="eastAsia" w:ascii="黑体" w:hAnsi="黑体" w:eastAsia="黑体"/>
          <w:bCs/>
          <w:sz w:val="32"/>
          <w:szCs w:val="32"/>
        </w:rPr>
        <w:t>资格审查条件</w:t>
      </w:r>
      <w:r>
        <w:rPr>
          <w:rFonts w:ascii="黑体" w:hAnsi="黑体" w:eastAsia="黑体"/>
          <w:bCs/>
          <w:sz w:val="32"/>
          <w:szCs w:val="32"/>
        </w:rPr>
        <w:t>(</w:t>
      </w:r>
      <w:r>
        <w:rPr>
          <w:rFonts w:hint="eastAsia" w:ascii="黑体" w:hAnsi="黑体" w:eastAsia="黑体"/>
          <w:bCs/>
          <w:sz w:val="32"/>
          <w:szCs w:val="32"/>
        </w:rPr>
        <w:t>资质最低条件</w:t>
      </w:r>
      <w:r>
        <w:rPr>
          <w:rFonts w:ascii="黑体" w:hAnsi="黑体" w:eastAsia="黑体"/>
          <w:bCs/>
          <w:sz w:val="32"/>
          <w:szCs w:val="32"/>
        </w:rPr>
        <w:t>)</w:t>
      </w:r>
      <w:bookmarkEnd w:id="19"/>
      <w:bookmarkEnd w:id="20"/>
      <w:bookmarkEnd w:id="21"/>
      <w:bookmarkEnd w:id="22"/>
      <w:bookmarkEnd w:id="23"/>
      <w:bookmarkEnd w:id="24"/>
      <w:bookmarkEnd w:id="25"/>
      <w:bookmarkEnd w:id="26"/>
      <w:bookmarkEnd w:id="27"/>
      <w:bookmarkEnd w:id="28"/>
      <w:bookmarkEnd w:id="29"/>
      <w:bookmarkEnd w:id="30"/>
    </w:p>
    <w:tbl>
      <w:tblPr>
        <w:tblStyle w:val="56"/>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r>
              <w:rPr>
                <w:rFonts w:hint="eastAsia"/>
                <w:sz w:val="24"/>
              </w:rPr>
              <w:t>投标人营业执照、资质证书、安全生产许可证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3" w:hRule="atLeast"/>
          <w:jc w:val="center"/>
        </w:trPr>
        <w:tc>
          <w:tcPr>
            <w:tcW w:w="8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0" w:firstLineChars="0"/>
              <w:rPr>
                <w:bCs/>
                <w:sz w:val="24"/>
              </w:rPr>
            </w:pPr>
            <w:r>
              <w:rPr>
                <w:bCs/>
                <w:sz w:val="24"/>
              </w:rPr>
              <w:t>1、具备有效营业执照。</w:t>
            </w:r>
          </w:p>
          <w:p>
            <w:pPr>
              <w:adjustRightInd w:val="0"/>
              <w:snapToGrid w:val="0"/>
              <w:spacing w:line="360" w:lineRule="auto"/>
              <w:ind w:firstLine="0" w:firstLineChars="0"/>
              <w:rPr>
                <w:bCs/>
                <w:sz w:val="24"/>
              </w:rPr>
            </w:pPr>
            <w:r>
              <w:rPr>
                <w:bCs/>
                <w:sz w:val="24"/>
              </w:rPr>
              <w:t>2、具备有效的资质证书（见招标公告要求）、安全生产许可证。</w:t>
            </w:r>
          </w:p>
          <w:p>
            <w:pPr>
              <w:adjustRightInd w:val="0"/>
              <w:snapToGrid w:val="0"/>
              <w:spacing w:line="360" w:lineRule="auto"/>
              <w:ind w:firstLine="0" w:firstLineChars="0"/>
              <w:rPr>
                <w:rFonts w:eastAsia="楷体"/>
                <w:bCs/>
                <w:snapToGrid w:val="0"/>
                <w:kern w:val="0"/>
                <w:szCs w:val="21"/>
              </w:rPr>
            </w:pPr>
          </w:p>
        </w:tc>
      </w:tr>
    </w:tbl>
    <w:p>
      <w:pPr>
        <w:widowControl/>
        <w:ind w:firstLine="480"/>
        <w:jc w:val="left"/>
        <w:rPr>
          <w:rFonts w:eastAsia="黑体"/>
          <w:sz w:val="24"/>
        </w:rPr>
      </w:pPr>
      <w:r>
        <w:rPr>
          <w:rFonts w:hint="eastAsia" w:eastAsia="黑体"/>
          <w:sz w:val="24"/>
        </w:rPr>
        <w:t>注：投标人需提供的资质等证明材料见本章第3.5.1项规定。</w:t>
      </w:r>
    </w:p>
    <w:p>
      <w:pPr>
        <w:widowControl/>
        <w:ind w:firstLine="0" w:firstLineChars="0"/>
        <w:jc w:val="left"/>
        <w:rPr>
          <w:rFonts w:eastAsia="黑体"/>
        </w:rPr>
      </w:pPr>
      <w:r>
        <w:rPr>
          <w:rFonts w:eastAsia="黑体"/>
        </w:rPr>
        <w:br w:type="page"/>
      </w:r>
    </w:p>
    <w:p>
      <w:pPr>
        <w:widowControl/>
        <w:ind w:firstLine="640"/>
        <w:jc w:val="left"/>
        <w:rPr>
          <w:sz w:val="32"/>
          <w:szCs w:val="32"/>
        </w:rPr>
      </w:pPr>
    </w:p>
    <w:p>
      <w:pPr>
        <w:keepNext/>
        <w:keepLines/>
        <w:spacing w:beforeLines="50" w:afterLines="50"/>
        <w:ind w:firstLine="0" w:firstLineChars="0"/>
        <w:jc w:val="center"/>
        <w:outlineLvl w:val="1"/>
        <w:rPr>
          <w:rFonts w:eastAsia="黑体"/>
          <w:bCs/>
          <w:sz w:val="32"/>
          <w:szCs w:val="32"/>
        </w:rPr>
      </w:pPr>
      <w:bookmarkStart w:id="31" w:name="_Toc133311681"/>
      <w:bookmarkStart w:id="32" w:name="_Toc138689339"/>
      <w:bookmarkStart w:id="33" w:name="_Toc36562772"/>
      <w:bookmarkStart w:id="34" w:name="_Toc9067713"/>
      <w:bookmarkStart w:id="35" w:name="_Toc14201200"/>
      <w:bookmarkStart w:id="36" w:name="_Toc131087820"/>
      <w:r>
        <w:rPr>
          <w:rFonts w:eastAsia="黑体"/>
          <w:bCs/>
          <w:sz w:val="32"/>
          <w:szCs w:val="32"/>
        </w:rPr>
        <w:t>附录</w:t>
      </w:r>
      <w:r>
        <w:rPr>
          <w:rFonts w:hint="eastAsia" w:eastAsia="黑体"/>
          <w:bCs/>
          <w:sz w:val="32"/>
          <w:szCs w:val="32"/>
        </w:rPr>
        <w:t>2</w:t>
      </w:r>
      <w:r>
        <w:rPr>
          <w:rFonts w:eastAsia="黑体"/>
          <w:bCs/>
          <w:sz w:val="32"/>
          <w:szCs w:val="32"/>
        </w:rPr>
        <w:t>资格审查条件（</w:t>
      </w:r>
      <w:r>
        <w:rPr>
          <w:rFonts w:hint="eastAsia" w:eastAsia="黑体"/>
          <w:bCs/>
          <w:sz w:val="32"/>
          <w:szCs w:val="32"/>
        </w:rPr>
        <w:t>财务</w:t>
      </w:r>
      <w:r>
        <w:rPr>
          <w:rFonts w:eastAsia="黑体"/>
          <w:bCs/>
          <w:sz w:val="32"/>
          <w:szCs w:val="32"/>
        </w:rPr>
        <w:t>最低要求）</w:t>
      </w:r>
      <w:bookmarkEnd w:id="31"/>
      <w:bookmarkEnd w:id="32"/>
      <w:bookmarkEnd w:id="33"/>
      <w:bookmarkEnd w:id="34"/>
      <w:bookmarkEnd w:id="35"/>
      <w:bookmarkEnd w:id="36"/>
    </w:p>
    <w:p>
      <w:pPr>
        <w:adjustRightInd w:val="0"/>
        <w:snapToGrid w:val="0"/>
        <w:spacing w:line="300" w:lineRule="exact"/>
        <w:ind w:firstLine="643"/>
        <w:rPr>
          <w:rFonts w:eastAsia="隶书"/>
          <w:b/>
          <w:sz w:val="32"/>
        </w:rPr>
      </w:pPr>
    </w:p>
    <w:tbl>
      <w:tblPr>
        <w:tblStyle w:val="56"/>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920" w:type="dxa"/>
            <w:vAlign w:val="center"/>
          </w:tcPr>
          <w:p>
            <w:pPr>
              <w:adjustRightInd w:val="0"/>
              <w:snapToGrid w:val="0"/>
              <w:spacing w:line="400" w:lineRule="atLeast"/>
              <w:ind w:firstLine="21" w:firstLineChars="9"/>
              <w:jc w:val="center"/>
              <w:rPr>
                <w:sz w:val="24"/>
              </w:rPr>
            </w:pPr>
            <w:r>
              <w:rPr>
                <w:rFonts w:hint="eastAsia"/>
                <w:sz w:val="24"/>
              </w:rPr>
              <w:t>财务</w:t>
            </w:r>
            <w:r>
              <w:rPr>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920" w:type="dxa"/>
            <w:vAlign w:val="center"/>
          </w:tcPr>
          <w:p>
            <w:pPr>
              <w:adjustRightInd w:val="0"/>
              <w:snapToGrid w:val="0"/>
              <w:spacing w:line="360" w:lineRule="auto"/>
              <w:ind w:firstLine="0" w:firstLineChars="0"/>
              <w:rPr>
                <w:bCs/>
                <w:sz w:val="24"/>
              </w:rPr>
            </w:pPr>
            <w:r>
              <w:rPr>
                <w:rFonts w:hint="eastAsia" w:ascii="MS Mincho" w:hAnsi="MS Mincho" w:eastAsia="MS Mincho" w:cs="MS Mincho"/>
                <w:bCs/>
                <w:sz w:val="24"/>
              </w:rPr>
              <w:t>☑</w:t>
            </w:r>
            <w:r>
              <w:rPr>
                <w:rFonts w:hint="eastAsia"/>
                <w:bCs/>
                <w:sz w:val="24"/>
              </w:rPr>
              <w:t>无需提供。</w:t>
            </w:r>
          </w:p>
          <w:p>
            <w:pPr>
              <w:adjustRightInd w:val="0"/>
              <w:snapToGrid w:val="0"/>
              <w:spacing w:line="360" w:lineRule="auto"/>
              <w:ind w:firstLine="0" w:firstLineChars="0"/>
              <w:rPr>
                <w:bCs/>
                <w:sz w:val="24"/>
              </w:rPr>
            </w:pPr>
            <w:r>
              <w:rPr>
                <w:rFonts w:hint="eastAsia"/>
                <w:bCs/>
                <w:sz w:val="24"/>
              </w:rPr>
              <w:t>□需提供以下材料：</w:t>
            </w:r>
          </w:p>
        </w:tc>
      </w:tr>
    </w:tbl>
    <w:p>
      <w:pPr>
        <w:widowControl/>
        <w:ind w:firstLine="480"/>
        <w:jc w:val="left"/>
        <w:rPr>
          <w:rFonts w:eastAsia="黑体"/>
          <w:sz w:val="24"/>
        </w:rPr>
      </w:pPr>
      <w:r>
        <w:rPr>
          <w:rFonts w:hint="eastAsia" w:eastAsia="黑体"/>
          <w:sz w:val="24"/>
        </w:rPr>
        <w:t>注：除上表特别说明外，</w:t>
      </w:r>
      <w:r>
        <w:rPr>
          <w:rFonts w:eastAsia="黑体"/>
          <w:sz w:val="24"/>
        </w:rPr>
        <w:t>投标人需提供</w:t>
      </w:r>
      <w:r>
        <w:rPr>
          <w:rFonts w:hint="eastAsia" w:eastAsia="黑体"/>
          <w:sz w:val="24"/>
        </w:rPr>
        <w:t>的财务</w:t>
      </w:r>
      <w:r>
        <w:rPr>
          <w:rFonts w:eastAsia="黑体"/>
          <w:sz w:val="24"/>
        </w:rPr>
        <w:t>证明材料见本章第3.5.2项规定。</w:t>
      </w:r>
    </w:p>
    <w:p>
      <w:pPr>
        <w:widowControl/>
        <w:ind w:firstLine="480"/>
        <w:jc w:val="left"/>
        <w:rPr>
          <w:sz w:val="24"/>
        </w:rPr>
      </w:pPr>
      <w:r>
        <w:rPr>
          <w:sz w:val="24"/>
        </w:rPr>
        <w:br w:type="page"/>
      </w:r>
    </w:p>
    <w:p>
      <w:pPr>
        <w:keepNext/>
        <w:keepLines/>
        <w:spacing w:beforeLines="50" w:afterLines="50"/>
        <w:ind w:firstLine="0" w:firstLineChars="0"/>
        <w:jc w:val="center"/>
        <w:outlineLvl w:val="1"/>
        <w:rPr>
          <w:rFonts w:eastAsia="黑体"/>
          <w:bCs/>
          <w:sz w:val="32"/>
          <w:szCs w:val="32"/>
        </w:rPr>
      </w:pPr>
      <w:bookmarkStart w:id="37" w:name="_Toc133311682"/>
      <w:bookmarkStart w:id="38" w:name="_Toc460226991"/>
      <w:bookmarkStart w:id="39" w:name="_Toc138689340"/>
      <w:bookmarkStart w:id="40" w:name="_Toc460226722"/>
      <w:bookmarkStart w:id="41" w:name="_Toc13751853"/>
      <w:bookmarkStart w:id="42" w:name="_Toc460660064"/>
      <w:bookmarkStart w:id="43" w:name="_Toc36562773"/>
      <w:bookmarkStart w:id="44" w:name="_Toc11078139"/>
      <w:bookmarkStart w:id="45" w:name="_Toc283798418"/>
      <w:bookmarkStart w:id="46" w:name="_Toc14201201"/>
      <w:bookmarkStart w:id="47" w:name="_Toc131087821"/>
      <w:bookmarkStart w:id="48" w:name="_Toc421916977"/>
      <w:r>
        <w:rPr>
          <w:rFonts w:hint="eastAsia" w:eastAsia="黑体"/>
          <w:bCs/>
          <w:sz w:val="32"/>
          <w:szCs w:val="32"/>
        </w:rPr>
        <w:t>附录</w:t>
      </w:r>
      <w:r>
        <w:rPr>
          <w:rFonts w:eastAsia="黑体"/>
          <w:bCs/>
          <w:sz w:val="32"/>
          <w:szCs w:val="32"/>
        </w:rPr>
        <w:t xml:space="preserve">3  </w:t>
      </w:r>
      <w:r>
        <w:rPr>
          <w:rFonts w:hint="eastAsia" w:eastAsia="黑体"/>
          <w:bCs/>
          <w:sz w:val="32"/>
          <w:szCs w:val="32"/>
        </w:rPr>
        <w:t>资格审查条件</w:t>
      </w:r>
      <w:r>
        <w:rPr>
          <w:rFonts w:eastAsia="黑体"/>
          <w:bCs/>
          <w:sz w:val="32"/>
          <w:szCs w:val="32"/>
        </w:rPr>
        <w:t>(</w:t>
      </w:r>
      <w:r>
        <w:rPr>
          <w:rFonts w:hint="eastAsia" w:eastAsia="黑体"/>
          <w:bCs/>
          <w:sz w:val="32"/>
          <w:szCs w:val="32"/>
        </w:rPr>
        <w:t>业绩最低要求</w:t>
      </w:r>
      <w:r>
        <w:rPr>
          <w:rFonts w:eastAsia="黑体"/>
          <w:bCs/>
          <w:sz w:val="32"/>
          <w:szCs w:val="32"/>
        </w:rPr>
        <w:t>)</w:t>
      </w:r>
      <w:bookmarkEnd w:id="37"/>
      <w:bookmarkEnd w:id="38"/>
      <w:bookmarkEnd w:id="39"/>
      <w:bookmarkEnd w:id="40"/>
      <w:bookmarkEnd w:id="41"/>
      <w:bookmarkEnd w:id="42"/>
      <w:bookmarkEnd w:id="43"/>
      <w:bookmarkEnd w:id="44"/>
      <w:bookmarkEnd w:id="45"/>
      <w:bookmarkEnd w:id="46"/>
      <w:bookmarkEnd w:id="47"/>
      <w:bookmarkEnd w:id="48"/>
    </w:p>
    <w:tbl>
      <w:tblPr>
        <w:tblStyle w:val="56"/>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jc w:val="center"/>
        </w:trPr>
        <w:tc>
          <w:tcPr>
            <w:tcW w:w="8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sz w:val="24"/>
              </w:rPr>
            </w:pPr>
            <w:r>
              <w:rPr>
                <w:sz w:val="24"/>
              </w:rPr>
              <w:t>投标人</w:t>
            </w:r>
            <w:r>
              <w:rPr>
                <w:rFonts w:hint="eastAsia"/>
                <w:sz w:val="24"/>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8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0" w:firstLineChars="0"/>
              <w:rPr>
                <w:bCs/>
                <w:sz w:val="24"/>
              </w:rPr>
            </w:pPr>
          </w:p>
          <w:p>
            <w:pPr>
              <w:adjustRightInd w:val="0"/>
              <w:snapToGrid w:val="0"/>
              <w:spacing w:line="360" w:lineRule="auto"/>
              <w:ind w:firstLine="0" w:firstLineChars="0"/>
              <w:rPr>
                <w:bCs/>
                <w:sz w:val="24"/>
              </w:rPr>
            </w:pPr>
          </w:p>
          <w:p>
            <w:pPr>
              <w:adjustRightInd w:val="0"/>
              <w:snapToGrid w:val="0"/>
              <w:spacing w:line="360" w:lineRule="auto"/>
              <w:ind w:firstLine="0" w:firstLineChars="0"/>
              <w:jc w:val="left"/>
              <w:rPr>
                <w:bCs/>
                <w:sz w:val="24"/>
              </w:rPr>
            </w:pPr>
            <w:r>
              <w:rPr>
                <w:rFonts w:hint="eastAsia"/>
                <w:bCs/>
                <w:sz w:val="24"/>
              </w:rPr>
              <w:t>业绩要求见招标公告要求。</w:t>
            </w:r>
          </w:p>
          <w:p>
            <w:pPr>
              <w:adjustRightInd w:val="0"/>
              <w:snapToGrid w:val="0"/>
              <w:spacing w:line="360" w:lineRule="auto"/>
              <w:ind w:firstLine="0" w:firstLineChars="0"/>
              <w:rPr>
                <w:bCs/>
                <w:sz w:val="24"/>
              </w:rPr>
            </w:pPr>
          </w:p>
          <w:p>
            <w:pPr>
              <w:adjustRightInd w:val="0"/>
              <w:snapToGrid w:val="0"/>
              <w:spacing w:line="360" w:lineRule="auto"/>
              <w:ind w:firstLine="0" w:firstLineChars="0"/>
              <w:rPr>
                <w:bCs/>
                <w:sz w:val="24"/>
              </w:rPr>
            </w:pPr>
          </w:p>
          <w:p>
            <w:pPr>
              <w:adjustRightInd w:val="0"/>
              <w:snapToGrid w:val="0"/>
              <w:spacing w:line="360" w:lineRule="auto"/>
              <w:ind w:firstLine="0" w:firstLineChars="0"/>
              <w:rPr>
                <w:bCs/>
                <w:sz w:val="24"/>
              </w:rPr>
            </w:pPr>
          </w:p>
          <w:p>
            <w:pPr>
              <w:adjustRightInd w:val="0"/>
              <w:snapToGrid w:val="0"/>
              <w:spacing w:line="360" w:lineRule="auto"/>
              <w:ind w:firstLine="0" w:firstLineChars="0"/>
              <w:rPr>
                <w:bCs/>
                <w:sz w:val="24"/>
              </w:rPr>
            </w:pPr>
          </w:p>
          <w:p>
            <w:pPr>
              <w:adjustRightInd w:val="0"/>
              <w:snapToGrid w:val="0"/>
              <w:spacing w:line="360" w:lineRule="auto"/>
              <w:ind w:firstLine="0" w:firstLineChars="0"/>
              <w:rPr>
                <w:bCs/>
                <w:sz w:val="24"/>
              </w:rPr>
            </w:pPr>
          </w:p>
          <w:p>
            <w:pPr>
              <w:adjustRightInd w:val="0"/>
              <w:snapToGrid w:val="0"/>
              <w:spacing w:line="360" w:lineRule="auto"/>
              <w:ind w:firstLine="0" w:firstLineChars="0"/>
              <w:rPr>
                <w:bCs/>
                <w:sz w:val="24"/>
              </w:rPr>
            </w:pPr>
          </w:p>
          <w:p>
            <w:pPr>
              <w:adjustRightInd w:val="0"/>
              <w:snapToGrid w:val="0"/>
              <w:spacing w:line="360" w:lineRule="auto"/>
              <w:ind w:firstLine="0" w:firstLineChars="0"/>
              <w:rPr>
                <w:bCs/>
                <w:sz w:val="24"/>
              </w:rPr>
            </w:pPr>
          </w:p>
        </w:tc>
      </w:tr>
    </w:tbl>
    <w:p>
      <w:pPr>
        <w:widowControl/>
        <w:ind w:firstLine="480"/>
        <w:jc w:val="left"/>
        <w:rPr>
          <w:rFonts w:eastAsia="黑体"/>
          <w:sz w:val="24"/>
        </w:rPr>
      </w:pPr>
      <w:r>
        <w:rPr>
          <w:rFonts w:hint="eastAsia" w:eastAsia="黑体"/>
          <w:sz w:val="24"/>
        </w:rPr>
        <w:t>注：</w:t>
      </w:r>
    </w:p>
    <w:p>
      <w:pPr>
        <w:widowControl/>
        <w:ind w:firstLine="480"/>
        <w:jc w:val="left"/>
        <w:rPr>
          <w:rFonts w:eastAsia="黑体"/>
          <w:sz w:val="24"/>
        </w:rPr>
      </w:pPr>
      <w:r>
        <w:rPr>
          <w:rFonts w:hint="eastAsia" w:eastAsia="黑体"/>
          <w:sz w:val="24"/>
        </w:rPr>
        <w:t>1.</w:t>
      </w:r>
      <w:r>
        <w:rPr>
          <w:rFonts w:eastAsia="黑体"/>
          <w:sz w:val="24"/>
        </w:rPr>
        <w:t>投标人需提供的业绩证明材料见本章第3.5.3项规定。</w:t>
      </w:r>
    </w:p>
    <w:p>
      <w:pPr>
        <w:widowControl/>
        <w:ind w:firstLine="480"/>
        <w:jc w:val="left"/>
        <w:rPr>
          <w:rFonts w:eastAsia="黑体"/>
          <w:sz w:val="24"/>
        </w:rPr>
      </w:pPr>
      <w:r>
        <w:rPr>
          <w:rFonts w:hint="eastAsia" w:eastAsia="黑体"/>
          <w:sz w:val="24"/>
        </w:rPr>
        <w:t>2.</w:t>
      </w:r>
      <w:r>
        <w:rPr>
          <w:rFonts w:eastAsia="黑体"/>
          <w:sz w:val="24"/>
        </w:rPr>
        <w:t>本招标项目投标人业绩</w:t>
      </w:r>
      <w:r>
        <w:rPr>
          <w:rFonts w:hint="eastAsia" w:eastAsia="黑体"/>
          <w:sz w:val="24"/>
        </w:rPr>
        <w:t>（</w:t>
      </w:r>
      <w:r>
        <w:rPr>
          <w:rFonts w:eastAsia="黑体"/>
          <w:sz w:val="24"/>
        </w:rPr>
        <w:t>资格审查</w:t>
      </w:r>
      <w:r>
        <w:rPr>
          <w:rFonts w:hint="eastAsia" w:eastAsia="黑体"/>
          <w:sz w:val="24"/>
        </w:rPr>
        <w:t>）数量：</w:t>
      </w:r>
      <w:r>
        <w:rPr>
          <w:rFonts w:hint="eastAsia" w:eastAsia="黑体"/>
          <w:sz w:val="24"/>
          <w:u w:val="single"/>
        </w:rPr>
        <w:t xml:space="preserve">   </w:t>
      </w:r>
      <w:r>
        <w:rPr>
          <w:rFonts w:hint="eastAsia" w:eastAsia="黑体"/>
          <w:sz w:val="24"/>
          <w:highlight w:val="none"/>
          <w:u w:val="single"/>
        </w:rPr>
        <w:t xml:space="preserve">0   </w:t>
      </w:r>
      <w:r>
        <w:rPr>
          <w:rFonts w:eastAsia="黑体"/>
          <w:sz w:val="24"/>
          <w:highlight w:val="none"/>
        </w:rPr>
        <w:t>个</w:t>
      </w:r>
      <w:r>
        <w:rPr>
          <w:rFonts w:hint="eastAsia" w:eastAsia="黑体"/>
          <w:sz w:val="24"/>
        </w:rPr>
        <w:t>。</w:t>
      </w:r>
    </w:p>
    <w:p>
      <w:pPr>
        <w:widowControl/>
        <w:ind w:firstLine="480"/>
        <w:jc w:val="left"/>
        <w:rPr>
          <w:rFonts w:eastAsia="黑体"/>
          <w:sz w:val="24"/>
        </w:rPr>
      </w:pPr>
      <w:r>
        <w:rPr>
          <w:rFonts w:eastAsia="黑体"/>
          <w:sz w:val="24"/>
        </w:rPr>
        <w:br w:type="page"/>
      </w:r>
    </w:p>
    <w:p>
      <w:pPr>
        <w:widowControl/>
        <w:ind w:firstLine="420"/>
        <w:jc w:val="left"/>
        <w:rPr>
          <w:rFonts w:eastAsia="黑体"/>
        </w:rPr>
      </w:pPr>
    </w:p>
    <w:p>
      <w:pPr>
        <w:keepNext/>
        <w:keepLines/>
        <w:spacing w:beforeLines="50" w:afterLines="50"/>
        <w:ind w:firstLine="0" w:firstLineChars="0"/>
        <w:jc w:val="center"/>
        <w:outlineLvl w:val="1"/>
        <w:rPr>
          <w:rFonts w:eastAsia="黑体"/>
          <w:bCs/>
          <w:sz w:val="32"/>
          <w:szCs w:val="32"/>
        </w:rPr>
      </w:pPr>
      <w:bookmarkStart w:id="49" w:name="_Toc133311683"/>
      <w:bookmarkStart w:id="50" w:name="_Toc131087822"/>
      <w:bookmarkStart w:id="51" w:name="_Toc36562774"/>
      <w:bookmarkStart w:id="52" w:name="_Toc138689341"/>
      <w:bookmarkStart w:id="53" w:name="_Toc9067715"/>
      <w:bookmarkStart w:id="54" w:name="_Toc14201202"/>
      <w:r>
        <w:rPr>
          <w:rFonts w:eastAsia="黑体"/>
          <w:bCs/>
          <w:sz w:val="32"/>
          <w:szCs w:val="32"/>
        </w:rPr>
        <w:t>附录</w:t>
      </w:r>
      <w:r>
        <w:rPr>
          <w:rFonts w:hint="eastAsia" w:eastAsia="黑体"/>
          <w:bCs/>
          <w:sz w:val="32"/>
          <w:szCs w:val="32"/>
        </w:rPr>
        <w:t>4</w:t>
      </w:r>
      <w:r>
        <w:rPr>
          <w:rFonts w:eastAsia="黑体"/>
          <w:bCs/>
          <w:sz w:val="32"/>
          <w:szCs w:val="32"/>
        </w:rPr>
        <w:t>资格审查条件（</w:t>
      </w:r>
      <w:r>
        <w:rPr>
          <w:rFonts w:hint="eastAsia" w:eastAsia="黑体"/>
          <w:bCs/>
          <w:sz w:val="32"/>
          <w:szCs w:val="32"/>
        </w:rPr>
        <w:t>信誉要求）</w:t>
      </w:r>
      <w:bookmarkEnd w:id="49"/>
      <w:bookmarkEnd w:id="50"/>
      <w:bookmarkEnd w:id="51"/>
      <w:bookmarkEnd w:id="52"/>
      <w:bookmarkEnd w:id="53"/>
      <w:bookmarkEnd w:id="54"/>
    </w:p>
    <w:tbl>
      <w:tblPr>
        <w:tblStyle w:val="56"/>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186" w:type="dxa"/>
            <w:vAlign w:val="center"/>
          </w:tcPr>
          <w:p>
            <w:pPr>
              <w:adjustRightInd w:val="0"/>
              <w:snapToGrid w:val="0"/>
              <w:spacing w:line="400" w:lineRule="atLeast"/>
              <w:ind w:firstLine="0" w:firstLineChars="0"/>
              <w:jc w:val="center"/>
              <w:rPr>
                <w:sz w:val="24"/>
              </w:rPr>
            </w:pPr>
            <w:r>
              <w:rPr>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3" w:hRule="atLeast"/>
        </w:trPr>
        <w:tc>
          <w:tcPr>
            <w:tcW w:w="9186" w:type="dxa"/>
            <w:vAlign w:val="center"/>
          </w:tcPr>
          <w:p>
            <w:pPr>
              <w:adjustRightInd w:val="0"/>
              <w:snapToGrid w:val="0"/>
              <w:spacing w:line="312" w:lineRule="auto"/>
              <w:ind w:firstLine="0" w:firstLineChars="0"/>
              <w:jc w:val="center"/>
              <w:rPr>
                <w:sz w:val="24"/>
              </w:rPr>
            </w:pPr>
            <w:r>
              <w:rPr>
                <w:rFonts w:hint="eastAsia"/>
                <w:sz w:val="24"/>
              </w:rPr>
              <w:t>见招标公告</w:t>
            </w:r>
          </w:p>
        </w:tc>
      </w:tr>
    </w:tbl>
    <w:p>
      <w:pPr>
        <w:widowControl/>
        <w:ind w:firstLine="480"/>
        <w:jc w:val="left"/>
        <w:rPr>
          <w:rFonts w:eastAsia="黑体"/>
          <w:sz w:val="24"/>
        </w:rPr>
      </w:pPr>
      <w:r>
        <w:rPr>
          <w:rFonts w:hint="eastAsia" w:eastAsia="黑体"/>
          <w:sz w:val="24"/>
        </w:rPr>
        <w:t>注：</w:t>
      </w:r>
      <w:r>
        <w:rPr>
          <w:rFonts w:eastAsia="黑体"/>
          <w:sz w:val="24"/>
        </w:rPr>
        <w:t>除上述具体信誉要求外，投标人还应满足投标人须知正文第1.4.3和1.4.4项的要求，需要提供的信誉证明材料见本章第3.5.4项规定。</w:t>
      </w:r>
    </w:p>
    <w:p>
      <w:pPr>
        <w:widowControl/>
        <w:ind w:firstLine="420"/>
        <w:jc w:val="left"/>
        <w:rPr>
          <w:rFonts w:eastAsia="黑体"/>
        </w:rPr>
      </w:pPr>
    </w:p>
    <w:p>
      <w:pPr>
        <w:widowControl/>
        <w:ind w:firstLine="420"/>
        <w:jc w:val="left"/>
        <w:rPr>
          <w:rFonts w:eastAsia="黑体"/>
        </w:rPr>
      </w:pPr>
      <w:r>
        <w:rPr>
          <w:rFonts w:eastAsia="黑体"/>
        </w:rPr>
        <w:br w:type="page"/>
      </w:r>
    </w:p>
    <w:p>
      <w:pPr>
        <w:keepNext/>
        <w:keepLines/>
        <w:spacing w:beforeLines="50" w:afterLines="50"/>
        <w:ind w:firstLine="0" w:firstLineChars="0"/>
        <w:jc w:val="center"/>
        <w:outlineLvl w:val="1"/>
        <w:rPr>
          <w:rFonts w:eastAsia="黑体"/>
          <w:bCs/>
          <w:sz w:val="32"/>
          <w:szCs w:val="32"/>
        </w:rPr>
      </w:pPr>
      <w:bookmarkStart w:id="55" w:name="_Toc9067716"/>
      <w:bookmarkStart w:id="56" w:name="_Toc138689342"/>
      <w:bookmarkStart w:id="57" w:name="_Toc14201203"/>
      <w:bookmarkStart w:id="58" w:name="_Toc133311684"/>
      <w:bookmarkStart w:id="59" w:name="_Toc26656933"/>
      <w:bookmarkStart w:id="60" w:name="_Toc131087823"/>
      <w:r>
        <w:rPr>
          <w:rFonts w:eastAsia="黑体"/>
          <w:bCs/>
          <w:sz w:val="32"/>
          <w:szCs w:val="32"/>
        </w:rPr>
        <w:t>附录</w:t>
      </w:r>
      <w:r>
        <w:rPr>
          <w:rFonts w:hint="eastAsia" w:eastAsia="黑体"/>
          <w:bCs/>
          <w:sz w:val="32"/>
          <w:szCs w:val="32"/>
        </w:rPr>
        <w:t>5</w:t>
      </w:r>
      <w:r>
        <w:rPr>
          <w:rFonts w:eastAsia="黑体"/>
          <w:bCs/>
          <w:sz w:val="32"/>
          <w:szCs w:val="32"/>
        </w:rPr>
        <w:t xml:space="preserve">  资格审查条件（项目经理和项目总工最低要求）</w:t>
      </w:r>
      <w:bookmarkEnd w:id="55"/>
      <w:bookmarkEnd w:id="56"/>
      <w:bookmarkEnd w:id="57"/>
      <w:bookmarkEnd w:id="58"/>
      <w:bookmarkEnd w:id="59"/>
      <w:bookmarkEnd w:id="60"/>
    </w:p>
    <w:p>
      <w:pPr>
        <w:adjustRightInd w:val="0"/>
        <w:snapToGrid w:val="0"/>
        <w:spacing w:line="300" w:lineRule="exact"/>
        <w:ind w:left="210" w:firstLine="480"/>
        <w:jc w:val="center"/>
        <w:rPr>
          <w:sz w:val="24"/>
        </w:rPr>
      </w:pPr>
    </w:p>
    <w:tbl>
      <w:tblPr>
        <w:tblStyle w:val="56"/>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964"/>
        <w:gridCol w:w="511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385" w:type="dxa"/>
            <w:vAlign w:val="center"/>
          </w:tcPr>
          <w:p>
            <w:pPr>
              <w:adjustRightInd w:val="0"/>
              <w:snapToGrid w:val="0"/>
              <w:spacing w:line="300" w:lineRule="auto"/>
              <w:ind w:firstLine="21" w:firstLineChars="9"/>
              <w:jc w:val="center"/>
              <w:rPr>
                <w:sz w:val="24"/>
              </w:rPr>
            </w:pPr>
            <w:r>
              <w:rPr>
                <w:sz w:val="24"/>
              </w:rPr>
              <w:t>人  员</w:t>
            </w:r>
          </w:p>
        </w:tc>
        <w:tc>
          <w:tcPr>
            <w:tcW w:w="964" w:type="dxa"/>
            <w:vAlign w:val="center"/>
          </w:tcPr>
          <w:p>
            <w:pPr>
              <w:adjustRightInd w:val="0"/>
              <w:snapToGrid w:val="0"/>
              <w:spacing w:line="300" w:lineRule="auto"/>
              <w:ind w:left="-1" w:leftChars="-38" w:hanging="79" w:hangingChars="33"/>
              <w:jc w:val="center"/>
              <w:rPr>
                <w:sz w:val="24"/>
              </w:rPr>
            </w:pPr>
            <w:r>
              <w:rPr>
                <w:sz w:val="24"/>
              </w:rPr>
              <w:t>数量</w:t>
            </w:r>
          </w:p>
        </w:tc>
        <w:tc>
          <w:tcPr>
            <w:tcW w:w="5114" w:type="dxa"/>
            <w:vAlign w:val="center"/>
          </w:tcPr>
          <w:p>
            <w:pPr>
              <w:adjustRightInd w:val="0"/>
              <w:snapToGrid w:val="0"/>
              <w:spacing w:line="300" w:lineRule="auto"/>
              <w:ind w:firstLine="0" w:firstLineChars="0"/>
              <w:jc w:val="center"/>
              <w:rPr>
                <w:sz w:val="24"/>
              </w:rPr>
            </w:pPr>
            <w:r>
              <w:rPr>
                <w:sz w:val="24"/>
              </w:rPr>
              <w:t>资 格 要 求</w:t>
            </w:r>
          </w:p>
        </w:tc>
        <w:tc>
          <w:tcPr>
            <w:tcW w:w="1379" w:type="dxa"/>
            <w:vAlign w:val="center"/>
          </w:tcPr>
          <w:p>
            <w:pPr>
              <w:adjustRightInd w:val="0"/>
              <w:snapToGrid w:val="0"/>
              <w:spacing w:line="300" w:lineRule="auto"/>
              <w:ind w:firstLine="0" w:firstLineChars="0"/>
              <w:rPr>
                <w:sz w:val="24"/>
              </w:rPr>
            </w:pPr>
            <w:r>
              <w:rPr>
                <w:rFonts w:hint="eastAsia"/>
                <w:sz w:val="24"/>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4" w:hRule="atLeast"/>
        </w:trPr>
        <w:tc>
          <w:tcPr>
            <w:tcW w:w="1385" w:type="dxa"/>
            <w:vAlign w:val="center"/>
          </w:tcPr>
          <w:p>
            <w:pPr>
              <w:spacing w:line="300" w:lineRule="auto"/>
              <w:ind w:firstLine="21" w:firstLineChars="9"/>
              <w:jc w:val="center"/>
              <w:rPr>
                <w:sz w:val="24"/>
              </w:rPr>
            </w:pPr>
            <w:r>
              <w:rPr>
                <w:sz w:val="24"/>
              </w:rPr>
              <w:t>项目经理</w:t>
            </w:r>
          </w:p>
        </w:tc>
        <w:tc>
          <w:tcPr>
            <w:tcW w:w="964" w:type="dxa"/>
            <w:vAlign w:val="center"/>
          </w:tcPr>
          <w:p>
            <w:pPr>
              <w:adjustRightInd w:val="0"/>
              <w:snapToGrid w:val="0"/>
              <w:spacing w:line="300" w:lineRule="auto"/>
              <w:ind w:firstLine="21" w:firstLineChars="9"/>
              <w:jc w:val="center"/>
              <w:rPr>
                <w:sz w:val="24"/>
              </w:rPr>
            </w:pPr>
            <w:r>
              <w:rPr>
                <w:rFonts w:hint="eastAsia"/>
                <w:sz w:val="24"/>
              </w:rPr>
              <w:t>1</w:t>
            </w:r>
          </w:p>
        </w:tc>
        <w:tc>
          <w:tcPr>
            <w:tcW w:w="5114" w:type="dxa"/>
            <w:vAlign w:val="center"/>
          </w:tcPr>
          <w:p>
            <w:pPr>
              <w:tabs>
                <w:tab w:val="left" w:pos="2552"/>
              </w:tabs>
              <w:adjustRightInd w:val="0"/>
              <w:snapToGrid w:val="0"/>
              <w:spacing w:line="360" w:lineRule="auto"/>
              <w:ind w:firstLine="0" w:firstLineChars="0"/>
              <w:jc w:val="left"/>
              <w:rPr>
                <w:sz w:val="24"/>
              </w:rPr>
            </w:pPr>
            <w:r>
              <w:rPr>
                <w:sz w:val="24"/>
              </w:rPr>
              <w:t>1.项目经理资格条件见招标公告，且必须是本单位人员（招标公告中要求的注册证书注册单位应当与投标人名称一致）。</w:t>
            </w:r>
          </w:p>
          <w:p>
            <w:pPr>
              <w:tabs>
                <w:tab w:val="left" w:pos="2552"/>
              </w:tabs>
              <w:adjustRightInd w:val="0"/>
              <w:snapToGrid w:val="0"/>
              <w:spacing w:line="360" w:lineRule="auto"/>
              <w:ind w:firstLine="0" w:firstLineChars="0"/>
              <w:jc w:val="left"/>
              <w:rPr>
                <w:sz w:val="24"/>
              </w:rPr>
            </w:pPr>
            <w:r>
              <w:rPr>
                <w:sz w:val="24"/>
              </w:rPr>
              <w:t>2.项目经理业绩具体要求见招标公告。</w:t>
            </w:r>
          </w:p>
          <w:p>
            <w:pPr>
              <w:adjustRightInd w:val="0"/>
              <w:snapToGrid w:val="0"/>
              <w:spacing w:line="300" w:lineRule="auto"/>
              <w:ind w:firstLine="21" w:firstLineChars="9"/>
              <w:rPr>
                <w:sz w:val="24"/>
              </w:rPr>
            </w:pPr>
            <w:r>
              <w:rPr>
                <w:rFonts w:hint="eastAsia" w:ascii="MS Mincho" w:hAnsi="MS Mincho" w:eastAsia="MS Mincho" w:cs="MS Mincho"/>
                <w:bCs/>
                <w:sz w:val="24"/>
              </w:rPr>
              <w:t>☑</w:t>
            </w:r>
            <w:r>
              <w:rPr>
                <w:sz w:val="24"/>
              </w:rPr>
              <w:t>社保要求：提供投标人所属社保机构出具的项目经理</w:t>
            </w:r>
            <w:r>
              <w:rPr>
                <w:rFonts w:hint="eastAsia"/>
                <w:sz w:val="24"/>
                <w:highlight w:val="none"/>
                <w:u w:val="single"/>
              </w:rPr>
              <w:t>202</w:t>
            </w:r>
            <w:r>
              <w:rPr>
                <w:rFonts w:hint="eastAsia"/>
                <w:sz w:val="24"/>
                <w:highlight w:val="none"/>
                <w:u w:val="single"/>
                <w:lang w:val="en-US" w:eastAsia="zh-CN"/>
              </w:rPr>
              <w:t>5</w:t>
            </w:r>
            <w:r>
              <w:rPr>
                <w:rFonts w:hint="eastAsia"/>
                <w:sz w:val="24"/>
                <w:highlight w:val="none"/>
                <w:u w:val="single"/>
              </w:rPr>
              <w:t>年</w:t>
            </w:r>
            <w:r>
              <w:rPr>
                <w:rFonts w:hint="eastAsia"/>
                <w:sz w:val="24"/>
                <w:highlight w:val="none"/>
                <w:u w:val="single"/>
                <w:lang w:val="en-US" w:eastAsia="zh-CN"/>
              </w:rPr>
              <w:t>1</w:t>
            </w:r>
            <w:r>
              <w:rPr>
                <w:rFonts w:hint="eastAsia"/>
                <w:sz w:val="24"/>
                <w:highlight w:val="none"/>
                <w:u w:val="single"/>
              </w:rPr>
              <w:t>月1日以来任意连续3个月</w:t>
            </w:r>
            <w:r>
              <w:rPr>
                <w:rFonts w:hint="eastAsia"/>
                <w:sz w:val="24"/>
                <w:u w:val="single"/>
              </w:rPr>
              <w:t>的</w:t>
            </w:r>
            <w:r>
              <w:rPr>
                <w:sz w:val="24"/>
              </w:rPr>
              <w:t>社保缴费证明</w:t>
            </w:r>
            <w:r>
              <w:rPr>
                <w:bCs/>
                <w:snapToGrid w:val="0"/>
                <w:sz w:val="24"/>
              </w:rPr>
              <w:t>材料</w:t>
            </w:r>
            <w:r>
              <w:rPr>
                <w:sz w:val="24"/>
              </w:rPr>
              <w:t>或其他能够证明项目经理参加社保的有效证明材料，项目经理社保的缴纳单位应当是投标人或者投标人不具备独立法人资格的分支机构。</w:t>
            </w:r>
          </w:p>
        </w:tc>
        <w:tc>
          <w:tcPr>
            <w:tcW w:w="1379" w:type="dxa"/>
            <w:vMerge w:val="restart"/>
            <w:vAlign w:val="center"/>
          </w:tcPr>
          <w:p>
            <w:pPr>
              <w:adjustRightInd w:val="0"/>
              <w:snapToGrid w:val="0"/>
              <w:spacing w:line="300" w:lineRule="auto"/>
              <w:ind w:firstLine="0" w:firstLineChars="0"/>
              <w:rPr>
                <w:sz w:val="24"/>
              </w:rPr>
            </w:pPr>
            <w:r>
              <w:rPr>
                <w:sz w:val="24"/>
              </w:rPr>
              <w:t>目前未在其他项目上任职，或虽在其他项目上任职但</w:t>
            </w:r>
            <w:r>
              <w:rPr>
                <w:rFonts w:hint="eastAsia"/>
                <w:sz w:val="24"/>
              </w:rPr>
              <w:t>本招标项目</w:t>
            </w:r>
            <w:r>
              <w:rPr>
                <w:sz w:val="24"/>
              </w:rPr>
              <w:t>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8" w:hRule="atLeast"/>
        </w:trPr>
        <w:tc>
          <w:tcPr>
            <w:tcW w:w="1385" w:type="dxa"/>
            <w:vAlign w:val="center"/>
          </w:tcPr>
          <w:p>
            <w:pPr>
              <w:spacing w:line="300" w:lineRule="auto"/>
              <w:ind w:firstLine="21" w:firstLineChars="9"/>
              <w:jc w:val="center"/>
              <w:rPr>
                <w:sz w:val="24"/>
              </w:rPr>
            </w:pPr>
            <w:r>
              <w:rPr>
                <w:sz w:val="24"/>
              </w:rPr>
              <w:t>项目总工</w:t>
            </w:r>
          </w:p>
        </w:tc>
        <w:tc>
          <w:tcPr>
            <w:tcW w:w="964" w:type="dxa"/>
            <w:vAlign w:val="center"/>
          </w:tcPr>
          <w:p>
            <w:pPr>
              <w:adjustRightInd w:val="0"/>
              <w:snapToGrid w:val="0"/>
              <w:spacing w:line="300" w:lineRule="auto"/>
              <w:ind w:firstLine="21" w:firstLineChars="9"/>
              <w:jc w:val="center"/>
              <w:rPr>
                <w:sz w:val="24"/>
              </w:rPr>
            </w:pPr>
            <w:r>
              <w:rPr>
                <w:rFonts w:hint="eastAsia"/>
                <w:sz w:val="24"/>
              </w:rPr>
              <w:t>1</w:t>
            </w:r>
          </w:p>
        </w:tc>
        <w:tc>
          <w:tcPr>
            <w:tcW w:w="5114" w:type="dxa"/>
            <w:vAlign w:val="center"/>
          </w:tcPr>
          <w:p>
            <w:pPr>
              <w:tabs>
                <w:tab w:val="left" w:pos="2552"/>
              </w:tabs>
              <w:adjustRightInd w:val="0"/>
              <w:snapToGrid w:val="0"/>
              <w:spacing w:line="360" w:lineRule="auto"/>
              <w:ind w:firstLine="0" w:firstLineChars="0"/>
              <w:jc w:val="left"/>
              <w:rPr>
                <w:sz w:val="24"/>
              </w:rPr>
            </w:pPr>
            <w:r>
              <w:rPr>
                <w:sz w:val="24"/>
              </w:rPr>
              <w:t>1.项目总工资格条件见招标公告，且必须是本单位人员。</w:t>
            </w:r>
          </w:p>
          <w:p>
            <w:pPr>
              <w:tabs>
                <w:tab w:val="left" w:pos="2552"/>
              </w:tabs>
              <w:adjustRightInd w:val="0"/>
              <w:snapToGrid w:val="0"/>
              <w:spacing w:line="360" w:lineRule="auto"/>
              <w:ind w:firstLine="0" w:firstLineChars="0"/>
              <w:jc w:val="left"/>
              <w:rPr>
                <w:sz w:val="24"/>
              </w:rPr>
            </w:pPr>
            <w:r>
              <w:rPr>
                <w:sz w:val="24"/>
              </w:rPr>
              <w:t>2.项目总工业绩具体要求见招标公告。</w:t>
            </w:r>
          </w:p>
          <w:p>
            <w:pPr>
              <w:adjustRightInd w:val="0"/>
              <w:snapToGrid w:val="0"/>
              <w:spacing w:line="300" w:lineRule="auto"/>
              <w:ind w:firstLine="21" w:firstLineChars="9"/>
              <w:rPr>
                <w:sz w:val="24"/>
              </w:rPr>
            </w:pPr>
            <w:r>
              <w:rPr>
                <w:rFonts w:hint="eastAsia" w:ascii="MS Mincho" w:hAnsi="MS Mincho" w:eastAsia="MS Mincho" w:cs="MS Mincho"/>
                <w:bCs/>
                <w:sz w:val="24"/>
              </w:rPr>
              <w:t>☑</w:t>
            </w:r>
            <w:r>
              <w:rPr>
                <w:sz w:val="24"/>
              </w:rPr>
              <w:t>社保要求：提供投标人所属社保机构出具的项目总工</w:t>
            </w:r>
            <w:r>
              <w:rPr>
                <w:rFonts w:hint="eastAsia"/>
                <w:sz w:val="24"/>
                <w:u w:val="single"/>
              </w:rPr>
              <w:t>2</w:t>
            </w:r>
            <w:r>
              <w:rPr>
                <w:rFonts w:hint="eastAsia"/>
                <w:sz w:val="24"/>
                <w:highlight w:val="none"/>
                <w:u w:val="single"/>
              </w:rPr>
              <w:t>02</w:t>
            </w:r>
            <w:r>
              <w:rPr>
                <w:rFonts w:hint="eastAsia"/>
                <w:sz w:val="24"/>
                <w:highlight w:val="none"/>
                <w:u w:val="single"/>
                <w:lang w:val="en-US" w:eastAsia="zh-CN"/>
              </w:rPr>
              <w:t>5</w:t>
            </w:r>
            <w:r>
              <w:rPr>
                <w:rFonts w:hint="eastAsia"/>
                <w:sz w:val="24"/>
                <w:highlight w:val="none"/>
                <w:u w:val="single"/>
              </w:rPr>
              <w:t>年</w:t>
            </w:r>
            <w:r>
              <w:rPr>
                <w:rFonts w:hint="eastAsia"/>
                <w:sz w:val="24"/>
                <w:highlight w:val="none"/>
                <w:u w:val="single"/>
                <w:lang w:val="en-US" w:eastAsia="zh-CN"/>
              </w:rPr>
              <w:t>1</w:t>
            </w:r>
            <w:r>
              <w:rPr>
                <w:rFonts w:hint="eastAsia"/>
                <w:sz w:val="24"/>
                <w:highlight w:val="none"/>
                <w:u w:val="single"/>
              </w:rPr>
              <w:t>月1日以来任意连续3个月</w:t>
            </w:r>
            <w:r>
              <w:rPr>
                <w:rFonts w:hint="eastAsia"/>
                <w:sz w:val="24"/>
                <w:u w:val="single"/>
              </w:rPr>
              <w:t>的</w:t>
            </w:r>
            <w:r>
              <w:rPr>
                <w:sz w:val="24"/>
              </w:rPr>
              <w:t>社保缴费证明</w:t>
            </w:r>
            <w:r>
              <w:rPr>
                <w:bCs/>
                <w:snapToGrid w:val="0"/>
                <w:sz w:val="24"/>
              </w:rPr>
              <w:t>材料</w:t>
            </w:r>
            <w:r>
              <w:rPr>
                <w:sz w:val="24"/>
              </w:rPr>
              <w:t>或其他能够证明拟项目总工参加社保的有效证明材料，项目总工社保的缴纳单位应当是投标人或者投标人不具备独立法人资格的分支机构。</w:t>
            </w:r>
          </w:p>
        </w:tc>
        <w:tc>
          <w:tcPr>
            <w:tcW w:w="1379" w:type="dxa"/>
            <w:vMerge w:val="continue"/>
          </w:tcPr>
          <w:p>
            <w:pPr>
              <w:adjustRightInd w:val="0"/>
              <w:snapToGrid w:val="0"/>
              <w:spacing w:line="300" w:lineRule="auto"/>
              <w:ind w:firstLine="480"/>
              <w:rPr>
                <w:sz w:val="24"/>
              </w:rPr>
            </w:pPr>
          </w:p>
        </w:tc>
      </w:tr>
    </w:tbl>
    <w:p>
      <w:pPr>
        <w:widowControl/>
        <w:ind w:firstLine="480"/>
        <w:jc w:val="left"/>
        <w:rPr>
          <w:rFonts w:eastAsia="黑体"/>
          <w:sz w:val="24"/>
        </w:rPr>
      </w:pPr>
      <w:r>
        <w:rPr>
          <w:rFonts w:hint="eastAsia" w:eastAsia="黑体"/>
          <w:sz w:val="24"/>
        </w:rPr>
        <w:t>注：</w:t>
      </w:r>
    </w:p>
    <w:p>
      <w:pPr>
        <w:widowControl/>
        <w:ind w:firstLine="480"/>
        <w:jc w:val="left"/>
        <w:rPr>
          <w:rFonts w:eastAsia="黑体"/>
          <w:sz w:val="24"/>
        </w:rPr>
      </w:pPr>
      <w:r>
        <w:rPr>
          <w:rFonts w:eastAsia="黑体"/>
          <w:sz w:val="24"/>
        </w:rPr>
        <w:t>1.投标人需提供的项目经理、项目总工的相关证明材料见本章第3.5.5项规定。</w:t>
      </w:r>
    </w:p>
    <w:p>
      <w:pPr>
        <w:widowControl/>
        <w:ind w:firstLine="480"/>
        <w:jc w:val="left"/>
        <w:rPr>
          <w:rFonts w:eastAsia="黑体"/>
          <w:sz w:val="24"/>
        </w:rPr>
      </w:pPr>
      <w:r>
        <w:rPr>
          <w:rFonts w:eastAsia="黑体"/>
          <w:sz w:val="24"/>
        </w:rPr>
        <w:t>2.项目经理与项目总工不得为同一人。</w:t>
      </w:r>
    </w:p>
    <w:p>
      <w:pPr>
        <w:widowControl/>
        <w:ind w:firstLine="480"/>
        <w:jc w:val="left"/>
        <w:rPr>
          <w:rFonts w:eastAsia="黑体"/>
          <w:sz w:val="24"/>
          <w:highlight w:val="none"/>
        </w:rPr>
      </w:pPr>
      <w:r>
        <w:rPr>
          <w:rFonts w:hint="eastAsia" w:eastAsia="黑体"/>
          <w:sz w:val="24"/>
        </w:rPr>
        <w:t>3.本</w:t>
      </w:r>
      <w:r>
        <w:rPr>
          <w:rFonts w:eastAsia="黑体"/>
          <w:sz w:val="24"/>
        </w:rPr>
        <w:t>招标项目</w:t>
      </w:r>
      <w:r>
        <w:rPr>
          <w:rFonts w:hint="eastAsia" w:eastAsia="黑体"/>
          <w:sz w:val="24"/>
        </w:rPr>
        <w:t>项目经理</w:t>
      </w:r>
      <w:r>
        <w:rPr>
          <w:rFonts w:eastAsia="黑体"/>
          <w:sz w:val="24"/>
        </w:rPr>
        <w:t>业绩（</w:t>
      </w:r>
      <w:r>
        <w:rPr>
          <w:rFonts w:hint="eastAsia" w:eastAsia="黑体"/>
          <w:sz w:val="24"/>
        </w:rPr>
        <w:t>资格</w:t>
      </w:r>
      <w:r>
        <w:rPr>
          <w:rFonts w:eastAsia="黑体"/>
          <w:sz w:val="24"/>
        </w:rPr>
        <w:t>审查）</w:t>
      </w:r>
      <w:r>
        <w:rPr>
          <w:rFonts w:hint="eastAsia" w:eastAsia="黑体"/>
          <w:sz w:val="24"/>
        </w:rPr>
        <w:t>数量</w:t>
      </w:r>
      <w:r>
        <w:rPr>
          <w:rFonts w:eastAsia="黑体"/>
          <w:sz w:val="24"/>
          <w:highlight w:val="none"/>
        </w:rPr>
        <w:t>：</w:t>
      </w:r>
      <w:r>
        <w:rPr>
          <w:rFonts w:hint="eastAsia" w:eastAsia="黑体"/>
          <w:sz w:val="24"/>
          <w:highlight w:val="none"/>
          <w:u w:val="single"/>
        </w:rPr>
        <w:t xml:space="preserve">  0  </w:t>
      </w:r>
      <w:r>
        <w:rPr>
          <w:rFonts w:hint="eastAsia" w:eastAsia="黑体"/>
          <w:sz w:val="24"/>
          <w:highlight w:val="none"/>
        </w:rPr>
        <w:t>个。</w:t>
      </w:r>
    </w:p>
    <w:p>
      <w:pPr>
        <w:widowControl/>
        <w:ind w:firstLine="480"/>
        <w:jc w:val="left"/>
        <w:rPr>
          <w:rFonts w:eastAsia="黑体"/>
          <w:sz w:val="24"/>
          <w:highlight w:val="none"/>
        </w:rPr>
      </w:pPr>
      <w:r>
        <w:rPr>
          <w:rFonts w:hint="eastAsia" w:eastAsia="黑体"/>
          <w:sz w:val="24"/>
          <w:highlight w:val="none"/>
        </w:rPr>
        <w:t>4.本</w:t>
      </w:r>
      <w:r>
        <w:rPr>
          <w:rFonts w:eastAsia="黑体"/>
          <w:sz w:val="24"/>
          <w:highlight w:val="none"/>
        </w:rPr>
        <w:t>招标</w:t>
      </w:r>
      <w:r>
        <w:rPr>
          <w:rFonts w:hint="eastAsia" w:eastAsia="黑体"/>
          <w:sz w:val="24"/>
          <w:highlight w:val="none"/>
        </w:rPr>
        <w:t>项目总工</w:t>
      </w:r>
      <w:r>
        <w:rPr>
          <w:rFonts w:eastAsia="黑体"/>
          <w:sz w:val="24"/>
          <w:highlight w:val="none"/>
        </w:rPr>
        <w:t>业绩（</w:t>
      </w:r>
      <w:r>
        <w:rPr>
          <w:rFonts w:hint="eastAsia" w:eastAsia="黑体"/>
          <w:sz w:val="24"/>
          <w:highlight w:val="none"/>
        </w:rPr>
        <w:t>资格</w:t>
      </w:r>
      <w:r>
        <w:rPr>
          <w:rFonts w:eastAsia="黑体"/>
          <w:sz w:val="24"/>
          <w:highlight w:val="none"/>
        </w:rPr>
        <w:t>审查）</w:t>
      </w:r>
      <w:r>
        <w:rPr>
          <w:rFonts w:hint="eastAsia" w:eastAsia="黑体"/>
          <w:sz w:val="24"/>
          <w:highlight w:val="none"/>
        </w:rPr>
        <w:t>数量</w:t>
      </w:r>
      <w:r>
        <w:rPr>
          <w:rFonts w:eastAsia="黑体"/>
          <w:sz w:val="24"/>
          <w:highlight w:val="none"/>
        </w:rPr>
        <w:t>：</w:t>
      </w:r>
      <w:r>
        <w:rPr>
          <w:rFonts w:hint="eastAsia" w:eastAsia="黑体"/>
          <w:sz w:val="24"/>
          <w:highlight w:val="none"/>
          <w:u w:val="single"/>
        </w:rPr>
        <w:t xml:space="preserve">  0  </w:t>
      </w:r>
      <w:r>
        <w:rPr>
          <w:rFonts w:hint="eastAsia" w:eastAsia="黑体"/>
          <w:sz w:val="24"/>
          <w:highlight w:val="none"/>
        </w:rPr>
        <w:t>个。</w:t>
      </w:r>
    </w:p>
    <w:p>
      <w:pPr>
        <w:widowControl/>
        <w:ind w:firstLine="480"/>
        <w:jc w:val="left"/>
        <w:rPr>
          <w:rFonts w:eastAsia="黑体"/>
          <w:sz w:val="24"/>
        </w:rPr>
      </w:pPr>
      <w:r>
        <w:rPr>
          <w:rFonts w:hint="eastAsia" w:eastAsia="黑体"/>
          <w:sz w:val="24"/>
        </w:rPr>
        <w:t>5.</w:t>
      </w:r>
      <w:r>
        <w:rPr>
          <w:rFonts w:eastAsia="黑体"/>
          <w:sz w:val="24"/>
        </w:rPr>
        <w:t>投标人提供的</w:t>
      </w:r>
      <w:r>
        <w:rPr>
          <w:rFonts w:hint="eastAsia" w:eastAsia="黑体"/>
          <w:sz w:val="24"/>
        </w:rPr>
        <w:t>项目经理</w:t>
      </w:r>
      <w:r>
        <w:rPr>
          <w:rFonts w:eastAsia="黑体"/>
          <w:sz w:val="24"/>
        </w:rPr>
        <w:t>业绩证明资料应反映出本招标项目的</w:t>
      </w:r>
      <w:r>
        <w:rPr>
          <w:rFonts w:hint="eastAsia" w:eastAsia="黑体"/>
          <w:sz w:val="24"/>
        </w:rPr>
        <w:t>项目经理</w:t>
      </w:r>
      <w:r>
        <w:rPr>
          <w:rFonts w:eastAsia="黑体"/>
          <w:sz w:val="24"/>
        </w:rPr>
        <w:t>在此业绩中担任过</w:t>
      </w:r>
      <w:r>
        <w:rPr>
          <w:rFonts w:hint="eastAsia" w:eastAsia="黑体"/>
          <w:sz w:val="24"/>
          <w:u w:val="single"/>
        </w:rPr>
        <w:t xml:space="preserve">   </w:t>
      </w:r>
      <w:r>
        <w:rPr>
          <w:rFonts w:hint="eastAsia" w:eastAsia="黑体"/>
          <w:sz w:val="24"/>
          <w:highlight w:val="none"/>
          <w:u w:val="single"/>
        </w:rPr>
        <w:t xml:space="preserve">/  </w:t>
      </w:r>
      <w:r>
        <w:rPr>
          <w:rFonts w:eastAsia="黑体"/>
          <w:sz w:val="24"/>
          <w:highlight w:val="none"/>
        </w:rPr>
        <w:t>的</w:t>
      </w:r>
      <w:r>
        <w:rPr>
          <w:rFonts w:eastAsia="黑体"/>
          <w:sz w:val="24"/>
        </w:rPr>
        <w:t>岗位。</w:t>
      </w:r>
    </w:p>
    <w:p>
      <w:pPr>
        <w:widowControl/>
        <w:ind w:firstLine="480"/>
        <w:jc w:val="left"/>
        <w:rPr>
          <w:rFonts w:eastAsia="黑体"/>
          <w:sz w:val="24"/>
        </w:rPr>
      </w:pPr>
      <w:r>
        <w:rPr>
          <w:rFonts w:hint="eastAsia" w:eastAsia="黑体"/>
          <w:sz w:val="24"/>
        </w:rPr>
        <w:t>6.</w:t>
      </w:r>
      <w:r>
        <w:rPr>
          <w:rFonts w:eastAsia="黑体"/>
          <w:sz w:val="24"/>
        </w:rPr>
        <w:t>投标人提供的</w:t>
      </w:r>
      <w:r>
        <w:rPr>
          <w:rFonts w:hint="eastAsia" w:eastAsia="黑体"/>
          <w:sz w:val="24"/>
        </w:rPr>
        <w:t>项目总工</w:t>
      </w:r>
      <w:r>
        <w:rPr>
          <w:rFonts w:eastAsia="黑体"/>
          <w:sz w:val="24"/>
        </w:rPr>
        <w:t>业绩证明资料应反映出本招标项目的</w:t>
      </w:r>
      <w:r>
        <w:rPr>
          <w:rFonts w:hint="eastAsia" w:eastAsia="黑体"/>
          <w:sz w:val="24"/>
        </w:rPr>
        <w:t>项目总工</w:t>
      </w:r>
      <w:r>
        <w:rPr>
          <w:rFonts w:eastAsia="黑体"/>
          <w:sz w:val="24"/>
        </w:rPr>
        <w:t>在此业绩中担任过</w:t>
      </w:r>
      <w:r>
        <w:rPr>
          <w:rFonts w:hint="eastAsia" w:eastAsia="黑体"/>
          <w:sz w:val="24"/>
          <w:u w:val="single"/>
        </w:rPr>
        <w:t xml:space="preserve">   </w:t>
      </w:r>
      <w:r>
        <w:rPr>
          <w:rFonts w:hint="eastAsia" w:eastAsia="黑体"/>
          <w:sz w:val="24"/>
          <w:highlight w:val="none"/>
          <w:u w:val="single"/>
        </w:rPr>
        <w:t xml:space="preserve">/  </w:t>
      </w:r>
      <w:r>
        <w:rPr>
          <w:rFonts w:eastAsia="黑体"/>
          <w:sz w:val="24"/>
          <w:highlight w:val="none"/>
        </w:rPr>
        <w:t>的岗</w:t>
      </w:r>
      <w:r>
        <w:rPr>
          <w:rFonts w:eastAsia="黑体"/>
          <w:sz w:val="24"/>
        </w:rPr>
        <w:t>位。</w:t>
      </w:r>
    </w:p>
    <w:p>
      <w:pPr>
        <w:widowControl/>
        <w:ind w:firstLine="420"/>
        <w:jc w:val="left"/>
        <w:rPr>
          <w:rFonts w:eastAsia="黑体"/>
        </w:rPr>
      </w:pPr>
    </w:p>
    <w:p>
      <w:pPr>
        <w:widowControl/>
        <w:ind w:firstLine="420"/>
        <w:jc w:val="left"/>
        <w:rPr>
          <w:rFonts w:eastAsia="黑体"/>
        </w:rPr>
      </w:pPr>
      <w:r>
        <w:rPr>
          <w:rFonts w:eastAsia="黑体"/>
        </w:rPr>
        <w:br w:type="page"/>
      </w:r>
    </w:p>
    <w:p>
      <w:pPr>
        <w:keepNext/>
        <w:keepLines/>
        <w:spacing w:beforeLines="50" w:afterLines="50"/>
        <w:ind w:firstLine="0" w:firstLineChars="0"/>
        <w:jc w:val="center"/>
        <w:outlineLvl w:val="1"/>
        <w:rPr>
          <w:rFonts w:eastAsia="黑体"/>
          <w:bCs/>
          <w:sz w:val="32"/>
          <w:szCs w:val="32"/>
        </w:rPr>
      </w:pPr>
      <w:bookmarkStart w:id="61" w:name="_Toc131087824"/>
      <w:bookmarkStart w:id="62" w:name="_Toc9067717"/>
      <w:bookmarkStart w:id="63" w:name="_Toc14201204"/>
      <w:bookmarkStart w:id="64" w:name="_Toc138689343"/>
      <w:bookmarkStart w:id="65" w:name="_Toc36562776"/>
      <w:bookmarkStart w:id="66" w:name="_Toc133311685"/>
      <w:r>
        <w:rPr>
          <w:rFonts w:eastAsia="黑体"/>
          <w:bCs/>
          <w:sz w:val="32"/>
          <w:szCs w:val="32"/>
        </w:rPr>
        <w:t>附录</w:t>
      </w:r>
      <w:r>
        <w:rPr>
          <w:rFonts w:hint="eastAsia" w:eastAsia="黑体"/>
          <w:bCs/>
          <w:sz w:val="32"/>
          <w:szCs w:val="32"/>
        </w:rPr>
        <w:t>6</w:t>
      </w:r>
      <w:r>
        <w:rPr>
          <w:rFonts w:eastAsia="黑体"/>
          <w:bCs/>
          <w:sz w:val="32"/>
          <w:szCs w:val="32"/>
        </w:rPr>
        <w:t>资格审查条件（其他管理和技术人员最低要求）</w:t>
      </w:r>
      <w:bookmarkEnd w:id="61"/>
      <w:bookmarkEnd w:id="62"/>
      <w:bookmarkEnd w:id="63"/>
      <w:bookmarkEnd w:id="64"/>
      <w:bookmarkEnd w:id="65"/>
      <w:bookmarkEnd w:id="66"/>
    </w:p>
    <w:p>
      <w:pPr>
        <w:adjustRightInd w:val="0"/>
        <w:snapToGrid w:val="0"/>
        <w:spacing w:line="400" w:lineRule="atLeast"/>
        <w:ind w:firstLine="480"/>
        <w:rPr>
          <w:sz w:val="24"/>
        </w:rPr>
      </w:pPr>
    </w:p>
    <w:tbl>
      <w:tblPr>
        <w:tblStyle w:val="56"/>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9"/>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09" w:type="dxa"/>
            <w:vAlign w:val="center"/>
          </w:tcPr>
          <w:p>
            <w:pPr>
              <w:adjustRightInd w:val="0"/>
              <w:snapToGrid w:val="0"/>
              <w:spacing w:line="400" w:lineRule="atLeast"/>
              <w:ind w:firstLine="0" w:firstLineChars="0"/>
              <w:jc w:val="center"/>
              <w:rPr>
                <w:sz w:val="24"/>
              </w:rPr>
            </w:pPr>
            <w:r>
              <w:rPr>
                <w:sz w:val="24"/>
              </w:rPr>
              <w:t>人员</w:t>
            </w:r>
          </w:p>
        </w:tc>
        <w:tc>
          <w:tcPr>
            <w:tcW w:w="1319" w:type="dxa"/>
            <w:vAlign w:val="center"/>
          </w:tcPr>
          <w:p>
            <w:pPr>
              <w:adjustRightInd w:val="0"/>
              <w:snapToGrid w:val="0"/>
              <w:spacing w:line="400" w:lineRule="atLeast"/>
              <w:ind w:right="-29" w:rightChars="-14" w:firstLine="0" w:firstLineChars="0"/>
              <w:jc w:val="center"/>
              <w:rPr>
                <w:sz w:val="24"/>
              </w:rPr>
            </w:pPr>
            <w:r>
              <w:rPr>
                <w:sz w:val="24"/>
              </w:rPr>
              <w:t>数量</w:t>
            </w:r>
          </w:p>
        </w:tc>
        <w:tc>
          <w:tcPr>
            <w:tcW w:w="5437" w:type="dxa"/>
            <w:vAlign w:val="center"/>
          </w:tcPr>
          <w:p>
            <w:pPr>
              <w:adjustRightInd w:val="0"/>
              <w:snapToGrid w:val="0"/>
              <w:spacing w:line="400" w:lineRule="atLeast"/>
              <w:ind w:firstLine="0" w:firstLineChars="0"/>
              <w:jc w:val="center"/>
              <w:rPr>
                <w:sz w:val="24"/>
              </w:rPr>
            </w:pPr>
            <w:r>
              <w:rPr>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vAlign w:val="center"/>
          </w:tcPr>
          <w:p>
            <w:pPr>
              <w:spacing w:line="400" w:lineRule="atLeast"/>
              <w:ind w:firstLine="21" w:firstLineChars="9"/>
              <w:jc w:val="center"/>
              <w:rPr>
                <w:sz w:val="24"/>
              </w:rPr>
            </w:pPr>
            <w:r>
              <w:rPr>
                <w:rFonts w:hint="eastAsia"/>
                <w:sz w:val="24"/>
              </w:rPr>
              <w:t>/</w:t>
            </w:r>
          </w:p>
        </w:tc>
        <w:tc>
          <w:tcPr>
            <w:tcW w:w="1319" w:type="dxa"/>
            <w:vAlign w:val="center"/>
          </w:tcPr>
          <w:p>
            <w:pPr>
              <w:adjustRightInd w:val="0"/>
              <w:snapToGrid w:val="0"/>
              <w:spacing w:line="400" w:lineRule="atLeast"/>
              <w:ind w:firstLine="0" w:firstLineChars="0"/>
              <w:jc w:val="center"/>
              <w:rPr>
                <w:sz w:val="24"/>
              </w:rPr>
            </w:pPr>
            <w:r>
              <w:rPr>
                <w:rFonts w:hint="eastAsia"/>
                <w:sz w:val="24"/>
              </w:rPr>
              <w:t>/</w:t>
            </w:r>
          </w:p>
        </w:tc>
        <w:tc>
          <w:tcPr>
            <w:tcW w:w="5437" w:type="dxa"/>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vAlign w:val="center"/>
          </w:tcPr>
          <w:p>
            <w:pPr>
              <w:spacing w:line="400" w:lineRule="atLeast"/>
              <w:ind w:firstLine="21" w:firstLineChars="9"/>
              <w:jc w:val="center"/>
              <w:rPr>
                <w:sz w:val="24"/>
              </w:rPr>
            </w:pPr>
            <w:r>
              <w:rPr>
                <w:rFonts w:hint="eastAsia"/>
                <w:sz w:val="24"/>
              </w:rPr>
              <w:t>/</w:t>
            </w:r>
          </w:p>
        </w:tc>
        <w:tc>
          <w:tcPr>
            <w:tcW w:w="1319" w:type="dxa"/>
            <w:vAlign w:val="center"/>
          </w:tcPr>
          <w:p>
            <w:pPr>
              <w:adjustRightInd w:val="0"/>
              <w:snapToGrid w:val="0"/>
              <w:spacing w:line="400" w:lineRule="atLeast"/>
              <w:ind w:firstLine="21" w:firstLineChars="9"/>
              <w:jc w:val="center"/>
              <w:rPr>
                <w:sz w:val="24"/>
              </w:rPr>
            </w:pPr>
            <w:r>
              <w:rPr>
                <w:rFonts w:hint="eastAsia"/>
                <w:sz w:val="24"/>
              </w:rPr>
              <w:t>/</w:t>
            </w:r>
          </w:p>
        </w:tc>
        <w:tc>
          <w:tcPr>
            <w:tcW w:w="5437" w:type="dxa"/>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vAlign w:val="center"/>
          </w:tcPr>
          <w:p>
            <w:pPr>
              <w:spacing w:line="400" w:lineRule="atLeast"/>
              <w:ind w:firstLine="21" w:firstLineChars="9"/>
              <w:jc w:val="center"/>
              <w:rPr>
                <w:sz w:val="24"/>
              </w:rPr>
            </w:pPr>
            <w:r>
              <w:rPr>
                <w:rFonts w:hint="eastAsia"/>
                <w:sz w:val="24"/>
              </w:rPr>
              <w:t>/</w:t>
            </w:r>
          </w:p>
        </w:tc>
        <w:tc>
          <w:tcPr>
            <w:tcW w:w="1319" w:type="dxa"/>
            <w:vAlign w:val="center"/>
          </w:tcPr>
          <w:p>
            <w:pPr>
              <w:adjustRightInd w:val="0"/>
              <w:snapToGrid w:val="0"/>
              <w:spacing w:line="400" w:lineRule="atLeast"/>
              <w:ind w:firstLine="21" w:firstLineChars="9"/>
              <w:jc w:val="center"/>
              <w:rPr>
                <w:sz w:val="24"/>
              </w:rPr>
            </w:pPr>
            <w:r>
              <w:rPr>
                <w:rFonts w:hint="eastAsia"/>
                <w:sz w:val="24"/>
              </w:rPr>
              <w:t>/</w:t>
            </w:r>
          </w:p>
        </w:tc>
        <w:tc>
          <w:tcPr>
            <w:tcW w:w="5437" w:type="dxa"/>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sz w:val="24"/>
              </w:rPr>
            </w:pPr>
            <w:r>
              <w:rPr>
                <w:rFonts w:hint="eastAsia"/>
                <w:sz w:val="24"/>
              </w:rPr>
              <w:t>/</w:t>
            </w:r>
          </w:p>
        </w:tc>
        <w:tc>
          <w:tcPr>
            <w:tcW w:w="1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sz w:val="24"/>
              </w:rPr>
            </w:pPr>
            <w:r>
              <w:rPr>
                <w:rFonts w:hint="eastAsia"/>
                <w:sz w:val="24"/>
              </w:rPr>
              <w:t>/</w:t>
            </w:r>
          </w:p>
        </w:tc>
        <w:tc>
          <w:tcPr>
            <w:tcW w:w="5437"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sz w:val="24"/>
              </w:rPr>
            </w:pPr>
            <w:r>
              <w:rPr>
                <w:rFonts w:hint="eastAsia"/>
                <w:sz w:val="24"/>
              </w:rPr>
              <w:t>/</w:t>
            </w:r>
          </w:p>
        </w:tc>
        <w:tc>
          <w:tcPr>
            <w:tcW w:w="1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sz w:val="24"/>
              </w:rPr>
            </w:pPr>
            <w:r>
              <w:rPr>
                <w:rFonts w:hint="eastAsia"/>
                <w:sz w:val="24"/>
              </w:rPr>
              <w:t>/</w:t>
            </w:r>
          </w:p>
        </w:tc>
        <w:tc>
          <w:tcPr>
            <w:tcW w:w="5437"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sz w:val="24"/>
              </w:rPr>
            </w:pPr>
            <w:r>
              <w:rPr>
                <w:rFonts w:hint="eastAsia"/>
                <w:sz w:val="24"/>
              </w:rPr>
              <w:t>/</w:t>
            </w:r>
          </w:p>
        </w:tc>
        <w:tc>
          <w:tcPr>
            <w:tcW w:w="1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sz w:val="24"/>
              </w:rPr>
            </w:pPr>
            <w:r>
              <w:rPr>
                <w:rFonts w:hint="eastAsia"/>
                <w:sz w:val="24"/>
              </w:rPr>
              <w:t>/</w:t>
            </w:r>
          </w:p>
        </w:tc>
        <w:tc>
          <w:tcPr>
            <w:tcW w:w="5437"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sz w:val="24"/>
              </w:rPr>
            </w:pPr>
            <w:r>
              <w:rPr>
                <w:rFonts w:hint="eastAsia"/>
                <w:sz w:val="24"/>
              </w:rPr>
              <w:t>/</w:t>
            </w:r>
          </w:p>
        </w:tc>
        <w:tc>
          <w:tcPr>
            <w:tcW w:w="1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sz w:val="24"/>
              </w:rPr>
            </w:pPr>
            <w:r>
              <w:rPr>
                <w:rFonts w:hint="eastAsia"/>
                <w:sz w:val="24"/>
              </w:rPr>
              <w:t>/</w:t>
            </w:r>
          </w:p>
        </w:tc>
        <w:tc>
          <w:tcPr>
            <w:tcW w:w="5437"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sz w:val="24"/>
              </w:rPr>
            </w:pPr>
            <w:r>
              <w:rPr>
                <w:rFonts w:hint="eastAsia"/>
                <w:sz w:val="24"/>
              </w:rPr>
              <w:t>/</w:t>
            </w:r>
          </w:p>
        </w:tc>
        <w:tc>
          <w:tcPr>
            <w:tcW w:w="1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sz w:val="24"/>
              </w:rPr>
            </w:pPr>
            <w:r>
              <w:rPr>
                <w:rFonts w:hint="eastAsia"/>
                <w:sz w:val="24"/>
              </w:rPr>
              <w:t>/</w:t>
            </w:r>
          </w:p>
        </w:tc>
        <w:tc>
          <w:tcPr>
            <w:tcW w:w="5437"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r>
    </w:tbl>
    <w:p>
      <w:pPr>
        <w:widowControl/>
        <w:ind w:firstLine="480"/>
        <w:jc w:val="left"/>
        <w:rPr>
          <w:rFonts w:eastAsia="黑体"/>
          <w:sz w:val="24"/>
        </w:rPr>
      </w:pPr>
      <w:bookmarkStart w:id="67" w:name="_Hlk22540816"/>
      <w:r>
        <w:rPr>
          <w:rFonts w:hint="eastAsia" w:eastAsia="黑体"/>
          <w:sz w:val="24"/>
        </w:rPr>
        <w:t>注：</w:t>
      </w:r>
      <w:r>
        <w:rPr>
          <w:rFonts w:hint="eastAsia" w:eastAsia="黑体"/>
          <w:bCs/>
          <w:sz w:val="24"/>
        </w:rPr>
        <w:t>投标人需提供的</w:t>
      </w:r>
      <w:r>
        <w:rPr>
          <w:rFonts w:hint="eastAsia" w:eastAsia="黑体"/>
          <w:sz w:val="24"/>
        </w:rPr>
        <w:t>其他管理和技术人员的</w:t>
      </w:r>
      <w:r>
        <w:rPr>
          <w:rFonts w:hint="eastAsia" w:eastAsia="黑体"/>
          <w:bCs/>
          <w:sz w:val="24"/>
        </w:rPr>
        <w:t>相关证明材料见本章第</w:t>
      </w:r>
      <w:r>
        <w:rPr>
          <w:rFonts w:eastAsia="黑体"/>
          <w:bCs/>
          <w:sz w:val="24"/>
        </w:rPr>
        <w:t>3.5.</w:t>
      </w:r>
      <w:r>
        <w:rPr>
          <w:rFonts w:hint="eastAsia" w:eastAsia="黑体"/>
          <w:bCs/>
          <w:sz w:val="24"/>
        </w:rPr>
        <w:t>6项规定</w:t>
      </w:r>
      <w:r>
        <w:rPr>
          <w:rFonts w:hint="eastAsia" w:eastAsia="黑体"/>
          <w:sz w:val="24"/>
        </w:rPr>
        <w:t>。</w:t>
      </w:r>
    </w:p>
    <w:bookmarkEnd w:id="67"/>
    <w:p>
      <w:pPr>
        <w:widowControl/>
        <w:ind w:firstLine="480"/>
        <w:jc w:val="left"/>
        <w:rPr>
          <w:rFonts w:eastAsia="黑体"/>
          <w:sz w:val="24"/>
        </w:rPr>
      </w:pPr>
      <w:r>
        <w:rPr>
          <w:rFonts w:eastAsia="黑体"/>
          <w:sz w:val="24"/>
        </w:rPr>
        <w:br w:type="page"/>
      </w:r>
    </w:p>
    <w:p>
      <w:pPr>
        <w:keepNext/>
        <w:keepLines/>
        <w:spacing w:beforeLines="50" w:afterLines="50"/>
        <w:ind w:firstLine="0" w:firstLineChars="0"/>
        <w:jc w:val="center"/>
        <w:outlineLvl w:val="1"/>
        <w:rPr>
          <w:rFonts w:eastAsia="黑体"/>
          <w:bCs/>
          <w:sz w:val="32"/>
          <w:szCs w:val="32"/>
        </w:rPr>
      </w:pPr>
      <w:bookmarkStart w:id="68" w:name="_Toc133311686"/>
      <w:bookmarkStart w:id="69" w:name="_Toc36562777"/>
      <w:bookmarkStart w:id="70" w:name="_Toc9067718"/>
      <w:bookmarkStart w:id="71" w:name="_Toc14201205"/>
      <w:bookmarkStart w:id="72" w:name="_Toc138689344"/>
      <w:bookmarkStart w:id="73" w:name="_Toc131087825"/>
      <w:r>
        <w:rPr>
          <w:rFonts w:eastAsia="黑体"/>
          <w:bCs/>
          <w:sz w:val="32"/>
          <w:szCs w:val="32"/>
        </w:rPr>
        <w:t>附录</w:t>
      </w:r>
      <w:r>
        <w:rPr>
          <w:rFonts w:hint="eastAsia" w:eastAsia="黑体"/>
          <w:bCs/>
          <w:sz w:val="32"/>
          <w:szCs w:val="32"/>
        </w:rPr>
        <w:t>7</w:t>
      </w:r>
      <w:r>
        <w:rPr>
          <w:rFonts w:eastAsia="黑体"/>
          <w:bCs/>
          <w:sz w:val="32"/>
          <w:szCs w:val="32"/>
        </w:rPr>
        <w:t>资格审查条件（主要机械设备和试验检测设备最低要求）</w:t>
      </w:r>
      <w:bookmarkEnd w:id="68"/>
      <w:bookmarkEnd w:id="69"/>
      <w:bookmarkEnd w:id="70"/>
      <w:bookmarkEnd w:id="71"/>
      <w:bookmarkEnd w:id="72"/>
      <w:bookmarkEnd w:id="73"/>
    </w:p>
    <w:p>
      <w:pPr>
        <w:adjustRightInd w:val="0"/>
        <w:snapToGrid w:val="0"/>
        <w:spacing w:line="400" w:lineRule="atLeast"/>
        <w:ind w:firstLine="420"/>
        <w:rPr>
          <w:bCs/>
        </w:rPr>
      </w:pPr>
    </w:p>
    <w:tbl>
      <w:tblPr>
        <w:tblStyle w:val="56"/>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3194"/>
        <w:gridCol w:w="9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vAlign w:val="center"/>
          </w:tcPr>
          <w:p>
            <w:pPr>
              <w:adjustRightInd w:val="0"/>
              <w:snapToGrid w:val="0"/>
              <w:spacing w:line="400" w:lineRule="atLeast"/>
              <w:ind w:firstLine="21" w:firstLineChars="9"/>
              <w:jc w:val="center"/>
              <w:rPr>
                <w:sz w:val="24"/>
              </w:rPr>
            </w:pPr>
            <w:r>
              <w:rPr>
                <w:sz w:val="24"/>
              </w:rPr>
              <w:t>设备名称</w:t>
            </w:r>
          </w:p>
        </w:tc>
        <w:tc>
          <w:tcPr>
            <w:tcW w:w="3194" w:type="dxa"/>
            <w:vAlign w:val="center"/>
          </w:tcPr>
          <w:p>
            <w:pPr>
              <w:adjustRightInd w:val="0"/>
              <w:snapToGrid w:val="0"/>
              <w:spacing w:line="400" w:lineRule="atLeast"/>
              <w:ind w:firstLine="21" w:firstLineChars="9"/>
              <w:jc w:val="center"/>
              <w:rPr>
                <w:sz w:val="24"/>
              </w:rPr>
            </w:pPr>
            <w:r>
              <w:rPr>
                <w:sz w:val="24"/>
              </w:rPr>
              <w:t>规格、功率及容量</w:t>
            </w:r>
          </w:p>
        </w:tc>
        <w:tc>
          <w:tcPr>
            <w:tcW w:w="950" w:type="dxa"/>
            <w:vAlign w:val="center"/>
          </w:tcPr>
          <w:p>
            <w:pPr>
              <w:adjustRightInd w:val="0"/>
              <w:snapToGrid w:val="0"/>
              <w:spacing w:line="400" w:lineRule="atLeast"/>
              <w:ind w:firstLine="21" w:firstLineChars="9"/>
              <w:jc w:val="center"/>
              <w:rPr>
                <w:sz w:val="24"/>
              </w:rPr>
            </w:pPr>
            <w:r>
              <w:rPr>
                <w:sz w:val="24"/>
              </w:rPr>
              <w:t>单位</w:t>
            </w:r>
          </w:p>
        </w:tc>
        <w:tc>
          <w:tcPr>
            <w:tcW w:w="2202" w:type="dxa"/>
            <w:vAlign w:val="center"/>
          </w:tcPr>
          <w:p>
            <w:pPr>
              <w:adjustRightInd w:val="0"/>
              <w:snapToGrid w:val="0"/>
              <w:spacing w:line="400" w:lineRule="atLeast"/>
              <w:ind w:firstLine="21" w:firstLineChars="9"/>
              <w:jc w:val="center"/>
              <w:rPr>
                <w:sz w:val="24"/>
              </w:rPr>
            </w:pPr>
            <w:r>
              <w:rPr>
                <w:sz w:val="24"/>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vAlign w:val="center"/>
          </w:tcPr>
          <w:p>
            <w:pPr>
              <w:adjustRightInd w:val="0"/>
              <w:snapToGrid w:val="0"/>
              <w:spacing w:line="400" w:lineRule="atLeast"/>
              <w:ind w:firstLine="0" w:firstLineChars="0"/>
              <w:jc w:val="center"/>
              <w:rPr>
                <w:sz w:val="24"/>
              </w:rPr>
            </w:pPr>
            <w:r>
              <w:rPr>
                <w:rFonts w:hint="eastAsia"/>
                <w:sz w:val="24"/>
              </w:rPr>
              <w:t>/</w:t>
            </w:r>
          </w:p>
        </w:tc>
        <w:tc>
          <w:tcPr>
            <w:tcW w:w="3194" w:type="dxa"/>
            <w:vAlign w:val="center"/>
          </w:tcPr>
          <w:p>
            <w:pPr>
              <w:spacing w:line="400" w:lineRule="atLeast"/>
              <w:ind w:firstLine="0" w:firstLineChars="0"/>
              <w:jc w:val="center"/>
              <w:rPr>
                <w:sz w:val="24"/>
              </w:rPr>
            </w:pPr>
            <w:r>
              <w:rPr>
                <w:rFonts w:hint="eastAsia"/>
                <w:sz w:val="24"/>
              </w:rPr>
              <w:t>/</w:t>
            </w:r>
          </w:p>
        </w:tc>
        <w:tc>
          <w:tcPr>
            <w:tcW w:w="950" w:type="dxa"/>
            <w:vAlign w:val="center"/>
          </w:tcPr>
          <w:p>
            <w:pPr>
              <w:adjustRightInd w:val="0"/>
              <w:snapToGrid w:val="0"/>
              <w:spacing w:line="400" w:lineRule="atLeast"/>
              <w:ind w:firstLine="0" w:firstLineChars="0"/>
              <w:jc w:val="center"/>
              <w:rPr>
                <w:sz w:val="24"/>
              </w:rPr>
            </w:pPr>
            <w:r>
              <w:rPr>
                <w:rFonts w:hint="eastAsia"/>
                <w:sz w:val="24"/>
              </w:rPr>
              <w:t>/</w:t>
            </w:r>
          </w:p>
        </w:tc>
        <w:tc>
          <w:tcPr>
            <w:tcW w:w="2202" w:type="dxa"/>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vAlign w:val="center"/>
          </w:tcPr>
          <w:p>
            <w:pPr>
              <w:adjustRightInd w:val="0"/>
              <w:snapToGrid w:val="0"/>
              <w:spacing w:line="400" w:lineRule="atLeast"/>
              <w:ind w:firstLine="0" w:firstLineChars="0"/>
              <w:jc w:val="center"/>
              <w:rPr>
                <w:sz w:val="24"/>
              </w:rPr>
            </w:pPr>
            <w:r>
              <w:rPr>
                <w:rFonts w:hint="eastAsia"/>
                <w:sz w:val="24"/>
              </w:rPr>
              <w:t>/</w:t>
            </w:r>
          </w:p>
        </w:tc>
        <w:tc>
          <w:tcPr>
            <w:tcW w:w="3194" w:type="dxa"/>
            <w:vAlign w:val="center"/>
          </w:tcPr>
          <w:p>
            <w:pPr>
              <w:spacing w:line="400" w:lineRule="atLeast"/>
              <w:ind w:firstLine="0" w:firstLineChars="0"/>
              <w:jc w:val="center"/>
              <w:rPr>
                <w:sz w:val="24"/>
              </w:rPr>
            </w:pPr>
            <w:r>
              <w:rPr>
                <w:rFonts w:hint="eastAsia"/>
                <w:sz w:val="24"/>
              </w:rPr>
              <w:t>/</w:t>
            </w:r>
          </w:p>
        </w:tc>
        <w:tc>
          <w:tcPr>
            <w:tcW w:w="950" w:type="dxa"/>
            <w:vAlign w:val="center"/>
          </w:tcPr>
          <w:p>
            <w:pPr>
              <w:adjustRightInd w:val="0"/>
              <w:snapToGrid w:val="0"/>
              <w:spacing w:line="400" w:lineRule="atLeast"/>
              <w:ind w:firstLine="0" w:firstLineChars="0"/>
              <w:jc w:val="center"/>
              <w:rPr>
                <w:sz w:val="24"/>
              </w:rPr>
            </w:pPr>
            <w:r>
              <w:rPr>
                <w:rFonts w:hint="eastAsia"/>
                <w:sz w:val="24"/>
              </w:rPr>
              <w:t>/</w:t>
            </w:r>
          </w:p>
        </w:tc>
        <w:tc>
          <w:tcPr>
            <w:tcW w:w="2202" w:type="dxa"/>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vAlign w:val="center"/>
          </w:tcPr>
          <w:p>
            <w:pPr>
              <w:adjustRightInd w:val="0"/>
              <w:snapToGrid w:val="0"/>
              <w:spacing w:line="400" w:lineRule="atLeast"/>
              <w:ind w:firstLine="0" w:firstLineChars="0"/>
              <w:jc w:val="center"/>
              <w:rPr>
                <w:sz w:val="24"/>
              </w:rPr>
            </w:pPr>
            <w:r>
              <w:rPr>
                <w:rFonts w:hint="eastAsia"/>
                <w:sz w:val="24"/>
              </w:rPr>
              <w:t>/</w:t>
            </w:r>
          </w:p>
        </w:tc>
        <w:tc>
          <w:tcPr>
            <w:tcW w:w="3194" w:type="dxa"/>
            <w:vAlign w:val="center"/>
          </w:tcPr>
          <w:p>
            <w:pPr>
              <w:spacing w:line="400" w:lineRule="atLeast"/>
              <w:ind w:firstLine="0" w:firstLineChars="0"/>
              <w:jc w:val="center"/>
              <w:rPr>
                <w:sz w:val="24"/>
              </w:rPr>
            </w:pPr>
            <w:r>
              <w:rPr>
                <w:rFonts w:hint="eastAsia"/>
                <w:sz w:val="24"/>
              </w:rPr>
              <w:t>/</w:t>
            </w:r>
          </w:p>
        </w:tc>
        <w:tc>
          <w:tcPr>
            <w:tcW w:w="950" w:type="dxa"/>
            <w:vAlign w:val="center"/>
          </w:tcPr>
          <w:p>
            <w:pPr>
              <w:adjustRightInd w:val="0"/>
              <w:snapToGrid w:val="0"/>
              <w:spacing w:line="400" w:lineRule="atLeast"/>
              <w:ind w:firstLine="0" w:firstLineChars="0"/>
              <w:jc w:val="center"/>
              <w:rPr>
                <w:sz w:val="24"/>
              </w:rPr>
            </w:pPr>
            <w:r>
              <w:rPr>
                <w:rFonts w:hint="eastAsia"/>
                <w:sz w:val="24"/>
              </w:rPr>
              <w:t>/</w:t>
            </w:r>
          </w:p>
        </w:tc>
        <w:tc>
          <w:tcPr>
            <w:tcW w:w="2202" w:type="dxa"/>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r>
              <w:rPr>
                <w:rFonts w:hint="eastAsia"/>
                <w:sz w:val="24"/>
              </w:rPr>
              <w:t>/</w:t>
            </w:r>
          </w:p>
        </w:tc>
        <w:tc>
          <w:tcPr>
            <w:tcW w:w="3194"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r>
              <w:rPr>
                <w:rFonts w:hint="eastAsia"/>
                <w:sz w:val="24"/>
              </w:rPr>
              <w:t>/</w:t>
            </w:r>
          </w:p>
        </w:tc>
        <w:tc>
          <w:tcPr>
            <w:tcW w:w="220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r>
              <w:rPr>
                <w:rFonts w:hint="eastAsia"/>
                <w:sz w:val="24"/>
              </w:rPr>
              <w:t>/</w:t>
            </w:r>
          </w:p>
        </w:tc>
        <w:tc>
          <w:tcPr>
            <w:tcW w:w="3194"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r>
              <w:rPr>
                <w:rFonts w:hint="eastAsia"/>
                <w:sz w:val="24"/>
              </w:rPr>
              <w:t>/</w:t>
            </w:r>
          </w:p>
        </w:tc>
        <w:tc>
          <w:tcPr>
            <w:tcW w:w="220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r>
              <w:rPr>
                <w:rFonts w:hint="eastAsia"/>
                <w:sz w:val="24"/>
              </w:rPr>
              <w:t>/</w:t>
            </w:r>
          </w:p>
        </w:tc>
        <w:tc>
          <w:tcPr>
            <w:tcW w:w="3194"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r>
              <w:rPr>
                <w:rFonts w:hint="eastAsia"/>
                <w:sz w:val="24"/>
              </w:rPr>
              <w:t>/</w:t>
            </w:r>
          </w:p>
        </w:tc>
        <w:tc>
          <w:tcPr>
            <w:tcW w:w="220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r>
              <w:rPr>
                <w:rFonts w:hint="eastAsia"/>
                <w:sz w:val="24"/>
              </w:rPr>
              <w:t>/</w:t>
            </w:r>
          </w:p>
        </w:tc>
        <w:tc>
          <w:tcPr>
            <w:tcW w:w="3194"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r>
              <w:rPr>
                <w:rFonts w:hint="eastAsia"/>
                <w:sz w:val="24"/>
              </w:rPr>
              <w:t>/</w:t>
            </w:r>
          </w:p>
        </w:tc>
        <w:tc>
          <w:tcPr>
            <w:tcW w:w="220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r>
              <w:rPr>
                <w:rFonts w:hint="eastAsia"/>
                <w:sz w:val="24"/>
              </w:rPr>
              <w:t>/</w:t>
            </w:r>
          </w:p>
        </w:tc>
      </w:tr>
    </w:tbl>
    <w:p>
      <w:pPr>
        <w:keepNext/>
        <w:keepLines/>
        <w:spacing w:beforeLines="50" w:afterLines="50"/>
        <w:ind w:firstLine="0" w:firstLineChars="0"/>
        <w:jc w:val="center"/>
        <w:outlineLvl w:val="1"/>
        <w:rPr>
          <w:rFonts w:eastAsia="黑体"/>
          <w:bCs/>
          <w:sz w:val="32"/>
          <w:szCs w:val="32"/>
        </w:rPr>
      </w:pPr>
      <w:r>
        <w:rPr>
          <w:rFonts w:eastAsia="黑体"/>
          <w:bCs/>
          <w:sz w:val="24"/>
          <w:szCs w:val="32"/>
        </w:rPr>
        <w:br w:type="page"/>
      </w:r>
      <w:bookmarkStart w:id="74" w:name="_Toc131087826"/>
      <w:bookmarkStart w:id="75" w:name="_Toc133311687"/>
      <w:bookmarkStart w:id="76" w:name="_Toc36562778"/>
      <w:bookmarkStart w:id="77" w:name="_Toc138689345"/>
      <w:bookmarkStart w:id="78" w:name="_Toc14201206"/>
      <w:r>
        <w:rPr>
          <w:rFonts w:hint="eastAsia" w:eastAsia="黑体"/>
          <w:bCs/>
          <w:sz w:val="32"/>
          <w:szCs w:val="32"/>
        </w:rPr>
        <w:t>附录8  投标文件制作软件导入已标价工程量清单须知和注意事项</w:t>
      </w:r>
      <w:bookmarkEnd w:id="74"/>
      <w:bookmarkEnd w:id="75"/>
      <w:bookmarkEnd w:id="76"/>
      <w:bookmarkEnd w:id="77"/>
      <w:bookmarkEnd w:id="78"/>
    </w:p>
    <w:p>
      <w:pPr>
        <w:widowControl/>
        <w:ind w:firstLine="560"/>
        <w:jc w:val="left"/>
        <w:rPr>
          <w:rFonts w:asciiTheme="minorEastAsia" w:hAnsiTheme="minorEastAsia" w:eastAsiaTheme="minorEastAsia"/>
          <w:bCs/>
          <w:snapToGrid w:val="0"/>
          <w:kern w:val="0"/>
          <w:sz w:val="28"/>
        </w:rPr>
      </w:pPr>
    </w:p>
    <w:p>
      <w:pPr>
        <w:tabs>
          <w:tab w:val="left" w:pos="2552"/>
        </w:tabs>
        <w:spacing w:line="360" w:lineRule="auto"/>
        <w:ind w:firstLine="480"/>
        <w:rPr>
          <w:sz w:val="24"/>
        </w:rPr>
      </w:pPr>
      <w:r>
        <w:rPr>
          <w:sz w:val="24"/>
        </w:rPr>
        <w:t>1.导入EXCEL已标价工程量清单时，请保持表格内的宽度不超过一页。超过一页的部分会被切割开，并自动附到文档最后，造成内容不连贯（也可以通过打印预览查看宽度是否超过一页）。</w:t>
      </w:r>
    </w:p>
    <w:p>
      <w:pPr>
        <w:tabs>
          <w:tab w:val="left" w:pos="2552"/>
        </w:tabs>
        <w:spacing w:line="360" w:lineRule="auto"/>
        <w:ind w:firstLine="480"/>
        <w:rPr>
          <w:sz w:val="24"/>
        </w:rPr>
      </w:pPr>
      <w:r>
        <w:rPr>
          <w:sz w:val="24"/>
        </w:rPr>
        <w:t>2.导入EXCEL表格的时候，会根据页面布局（横向，纵向）自动转换成PDF。</w:t>
      </w:r>
    </w:p>
    <w:p>
      <w:pPr>
        <w:tabs>
          <w:tab w:val="left" w:pos="2552"/>
        </w:tabs>
        <w:spacing w:line="360" w:lineRule="auto"/>
        <w:ind w:firstLine="480"/>
        <w:rPr>
          <w:sz w:val="24"/>
        </w:rPr>
      </w:pPr>
      <w:r>
        <w:rPr>
          <w:sz w:val="24"/>
        </w:rPr>
        <w:t>3.如果EXCEL表中有多个sheet，导入EXCEL时会自动按照EXCEL表内的sheet顺序逐个导入投标工具并转换PDF。</w:t>
      </w:r>
    </w:p>
    <w:p>
      <w:pPr>
        <w:widowControl/>
        <w:ind w:firstLine="198" w:firstLineChars="90"/>
        <w:jc w:val="left"/>
        <w:rPr>
          <w:rFonts w:eastAsia="黑体"/>
          <w:sz w:val="22"/>
        </w:rPr>
      </w:pPr>
    </w:p>
    <w:p>
      <w:pPr>
        <w:keepNext/>
        <w:keepLines/>
        <w:spacing w:beforeLines="50" w:afterLines="50"/>
        <w:ind w:firstLine="0" w:firstLineChars="0"/>
        <w:jc w:val="center"/>
        <w:outlineLvl w:val="1"/>
        <w:rPr>
          <w:sz w:val="32"/>
          <w:szCs w:val="32"/>
        </w:rPr>
      </w:pPr>
      <w:r>
        <w:rPr>
          <w:sz w:val="24"/>
          <w:szCs w:val="32"/>
        </w:rPr>
        <w:br w:type="page"/>
      </w:r>
      <w:bookmarkStart w:id="79" w:name="_Toc283798422"/>
      <w:bookmarkStart w:id="80" w:name="_Toc131087827"/>
      <w:bookmarkStart w:id="81" w:name="_Toc53664987"/>
      <w:bookmarkStart w:id="82" w:name="_Toc138689346"/>
      <w:bookmarkStart w:id="83" w:name="_Toc36562779"/>
      <w:bookmarkStart w:id="84" w:name="_Toc133311688"/>
      <w:bookmarkStart w:id="85" w:name="_Toc19540841"/>
      <w:bookmarkStart w:id="86" w:name="_Toc98148105"/>
      <w:bookmarkStart w:id="87" w:name="_Hlk22743797"/>
      <w:bookmarkStart w:id="88" w:name="_Hlk22745672"/>
      <w:r>
        <w:rPr>
          <w:rFonts w:hint="eastAsia" w:eastAsia="黑体"/>
          <w:bCs/>
          <w:sz w:val="32"/>
          <w:szCs w:val="32"/>
        </w:rPr>
        <w:t>投标人须知</w:t>
      </w:r>
      <w:bookmarkEnd w:id="79"/>
      <w:r>
        <w:rPr>
          <w:rFonts w:hint="eastAsia" w:eastAsia="黑体"/>
          <w:bCs/>
          <w:sz w:val="32"/>
          <w:szCs w:val="32"/>
        </w:rPr>
        <w:t>正文</w:t>
      </w:r>
      <w:bookmarkStart w:id="89" w:name="_Hlk25327888"/>
      <w:r>
        <w:rPr>
          <w:rFonts w:hint="eastAsia" w:eastAsia="黑体"/>
          <w:bCs/>
          <w:sz w:val="32"/>
          <w:szCs w:val="32"/>
        </w:rPr>
        <w:t>补充细化</w:t>
      </w:r>
      <w:bookmarkEnd w:id="89"/>
      <w:r>
        <w:rPr>
          <w:rFonts w:hint="eastAsia" w:eastAsia="黑体"/>
          <w:bCs/>
          <w:sz w:val="32"/>
          <w:szCs w:val="32"/>
        </w:rPr>
        <w:t>一览表</w:t>
      </w:r>
      <w:bookmarkEnd w:id="80"/>
      <w:bookmarkEnd w:id="81"/>
      <w:bookmarkEnd w:id="82"/>
      <w:bookmarkEnd w:id="83"/>
      <w:bookmarkEnd w:id="84"/>
      <w:bookmarkEnd w:id="85"/>
      <w:bookmarkEnd w:id="86"/>
    </w:p>
    <w:p>
      <w:pPr>
        <w:autoSpaceDE w:val="0"/>
        <w:autoSpaceDN w:val="0"/>
        <w:adjustRightInd w:val="0"/>
        <w:snapToGrid w:val="0"/>
        <w:spacing w:line="240" w:lineRule="atLeast"/>
        <w:ind w:firstLine="0" w:firstLineChars="0"/>
        <w:jc w:val="center"/>
        <w:rPr>
          <w:rFonts w:cs="宋体"/>
          <w:b/>
          <w:sz w:val="31"/>
          <w:szCs w:val="49"/>
        </w:rPr>
      </w:pPr>
    </w:p>
    <w:p>
      <w:pPr>
        <w:ind w:firstLine="0" w:firstLineChars="0"/>
        <w:rPr>
          <w:kern w:val="0"/>
          <w:sz w:val="24"/>
        </w:rPr>
      </w:pPr>
      <w:r>
        <w:rPr>
          <w:rFonts w:hint="eastAsia"/>
          <w:kern w:val="0"/>
          <w:sz w:val="24"/>
        </w:rPr>
        <w:t>投标人须知正文条款内容</w:t>
      </w:r>
      <w:r>
        <w:rPr>
          <w:rFonts w:hint="eastAsia"/>
          <w:bCs/>
          <w:kern w:val="0"/>
          <w:sz w:val="24"/>
        </w:rPr>
        <w:t>补充细化</w:t>
      </w:r>
      <w:r>
        <w:rPr>
          <w:rFonts w:hint="eastAsia"/>
          <w:kern w:val="0"/>
          <w:sz w:val="24"/>
        </w:rPr>
        <w:t>如下：</w:t>
      </w:r>
    </w:p>
    <w:p>
      <w:pPr>
        <w:autoSpaceDE w:val="0"/>
        <w:autoSpaceDN w:val="0"/>
        <w:adjustRightInd w:val="0"/>
        <w:snapToGrid w:val="0"/>
        <w:spacing w:line="240" w:lineRule="atLeast"/>
        <w:ind w:firstLine="220" w:firstLineChars="100"/>
        <w:rPr>
          <w:rFonts w:cs="宋体"/>
          <w:spacing w:val="-10"/>
          <w:kern w:val="0"/>
          <w:sz w:val="24"/>
        </w:rPr>
      </w:pPr>
    </w:p>
    <w:tbl>
      <w:tblPr>
        <w:tblStyle w:val="56"/>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228"/>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4"/>
              </w:rPr>
            </w:pPr>
            <w:r>
              <w:rPr>
                <w:rFonts w:hint="eastAsia"/>
                <w:b/>
                <w:sz w:val="24"/>
              </w:rPr>
              <w:t>条款</w:t>
            </w:r>
          </w:p>
          <w:p>
            <w:pPr>
              <w:ind w:firstLine="0" w:firstLineChars="0"/>
              <w:jc w:val="center"/>
              <w:rPr>
                <w:b/>
                <w:sz w:val="24"/>
              </w:rPr>
            </w:pPr>
            <w:r>
              <w:rPr>
                <w:rFonts w:hint="eastAsia"/>
                <w:b/>
                <w:sz w:val="24"/>
              </w:rPr>
              <w:t>编号</w:t>
            </w:r>
          </w:p>
        </w:tc>
        <w:tc>
          <w:tcPr>
            <w:tcW w:w="32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4"/>
              </w:rPr>
            </w:pPr>
            <w:r>
              <w:rPr>
                <w:rFonts w:hint="eastAsia"/>
                <w:b/>
                <w:sz w:val="24"/>
              </w:rPr>
              <w:t>示范文本中条款内容</w:t>
            </w:r>
          </w:p>
        </w:tc>
        <w:tc>
          <w:tcPr>
            <w:tcW w:w="469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 w:val="24"/>
              </w:rPr>
            </w:pPr>
            <w:r>
              <w:rPr>
                <w:rFonts w:hint="eastAsia"/>
                <w:b/>
                <w:bCs/>
                <w:sz w:val="24"/>
              </w:rPr>
              <w:t>补充细化</w:t>
            </w:r>
            <w:r>
              <w:rPr>
                <w:rFonts w:hint="eastAsia"/>
                <w:b/>
                <w:sz w:val="24"/>
              </w:rPr>
              <w:t>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pStyle w:val="210"/>
              <w:ind w:firstLine="420"/>
              <w:jc w:val="center"/>
              <w:rPr>
                <w:rFonts w:ascii="宋体" w:hAnsi="宋体"/>
                <w:sz w:val="24"/>
              </w:rPr>
            </w:pPr>
            <w:r>
              <w:rPr>
                <w:rFonts w:hint="eastAsia" w:ascii="宋体" w:hAnsi="宋体"/>
                <w:sz w:val="24"/>
              </w:rPr>
              <w:t>/</w:t>
            </w:r>
          </w:p>
        </w:tc>
        <w:tc>
          <w:tcPr>
            <w:tcW w:w="3228" w:type="dxa"/>
            <w:tcBorders>
              <w:top w:val="single" w:color="auto" w:sz="4" w:space="0"/>
              <w:left w:val="single" w:color="auto" w:sz="4" w:space="0"/>
              <w:bottom w:val="single" w:color="auto" w:sz="4" w:space="0"/>
              <w:right w:val="single" w:color="auto" w:sz="4" w:space="0"/>
            </w:tcBorders>
            <w:vAlign w:val="center"/>
          </w:tcPr>
          <w:p>
            <w:pPr>
              <w:pStyle w:val="210"/>
              <w:rPr>
                <w:sz w:val="24"/>
              </w:rPr>
            </w:pPr>
            <w:r>
              <w:rPr>
                <w:rFonts w:hint="eastAsia"/>
                <w:sz w:val="24"/>
              </w:rPr>
              <w:t>/</w:t>
            </w:r>
          </w:p>
        </w:tc>
        <w:tc>
          <w:tcPr>
            <w:tcW w:w="4698"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宋体" w:hAnsi="宋体" w:cs="宋体"/>
                <w:sz w:val="24"/>
                <w:lang w:val="zh-CN"/>
              </w:rPr>
            </w:pPr>
            <w:r>
              <w:rPr>
                <w:rFonts w:hint="eastAsia" w:ascii="宋体" w:hAnsi="宋体" w:cs="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z w:val="24"/>
              </w:rPr>
            </w:pPr>
            <w:r>
              <w:rPr>
                <w:rFonts w:hint="eastAsia" w:ascii="宋体" w:hAnsi="宋体"/>
                <w:sz w:val="24"/>
              </w:rPr>
              <w:t>/</w:t>
            </w:r>
          </w:p>
        </w:tc>
        <w:tc>
          <w:tcPr>
            <w:tcW w:w="322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sz w:val="24"/>
              </w:rPr>
            </w:pPr>
            <w:r>
              <w:rPr>
                <w:rFonts w:hint="eastAsia" w:ascii="宋体" w:hAnsi="宋体"/>
                <w:sz w:val="24"/>
              </w:rPr>
              <w:t>/</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sz w:val="24"/>
              </w:rPr>
            </w:pPr>
            <w:r>
              <w:rPr>
                <w:rFonts w:hint="eastAsia" w:ascii="宋体" w:hAnsi="宋体"/>
                <w:sz w:val="24"/>
              </w:rPr>
              <w:t>/</w:t>
            </w:r>
          </w:p>
        </w:tc>
      </w:tr>
      <w:bookmarkEnd w:id="87"/>
    </w:tbl>
    <w:p>
      <w:pPr>
        <w:widowControl/>
        <w:ind w:firstLine="0" w:firstLineChars="0"/>
        <w:jc w:val="left"/>
        <w:rPr>
          <w:sz w:val="24"/>
          <w:szCs w:val="32"/>
        </w:rPr>
      </w:pPr>
    </w:p>
    <w:p>
      <w:pPr>
        <w:widowControl/>
        <w:ind w:firstLine="0" w:firstLineChars="0"/>
        <w:jc w:val="left"/>
        <w:rPr>
          <w:sz w:val="24"/>
          <w:szCs w:val="32"/>
        </w:rPr>
      </w:pPr>
      <w:r>
        <w:rPr>
          <w:sz w:val="24"/>
          <w:szCs w:val="32"/>
        </w:rPr>
        <w:br w:type="page"/>
      </w:r>
    </w:p>
    <w:p>
      <w:pPr>
        <w:widowControl/>
        <w:ind w:firstLine="0" w:firstLineChars="0"/>
        <w:jc w:val="left"/>
        <w:rPr>
          <w:sz w:val="24"/>
          <w:szCs w:val="32"/>
        </w:rPr>
      </w:pPr>
    </w:p>
    <w:bookmarkEnd w:id="88"/>
    <w:p>
      <w:pPr>
        <w:keepNext/>
        <w:keepLines/>
        <w:spacing w:beforeLines="100" w:afterLines="100"/>
        <w:ind w:firstLine="0" w:firstLineChars="0"/>
        <w:jc w:val="left"/>
        <w:outlineLvl w:val="1"/>
        <w:rPr>
          <w:rFonts w:eastAsia="黑体"/>
          <w:bCs/>
          <w:sz w:val="32"/>
          <w:szCs w:val="32"/>
        </w:rPr>
      </w:pPr>
      <w:bookmarkStart w:id="90" w:name="_Toc138689347"/>
      <w:bookmarkStart w:id="91" w:name="_Toc23586"/>
      <w:r>
        <w:rPr>
          <w:rFonts w:eastAsia="黑体"/>
          <w:bCs/>
          <w:sz w:val="32"/>
          <w:szCs w:val="32"/>
        </w:rPr>
        <w:t>1. 总则</w:t>
      </w:r>
      <w:bookmarkEnd w:id="90"/>
      <w:bookmarkEnd w:id="91"/>
    </w:p>
    <w:p>
      <w:pPr>
        <w:keepNext/>
        <w:keepLines/>
        <w:spacing w:beforeLines="100" w:afterLines="100"/>
        <w:ind w:firstLine="0" w:firstLineChars="0"/>
        <w:outlineLvl w:val="2"/>
        <w:rPr>
          <w:rFonts w:eastAsia="黑体"/>
          <w:bCs/>
          <w:sz w:val="24"/>
          <w:szCs w:val="32"/>
        </w:rPr>
      </w:pPr>
      <w:bookmarkStart w:id="92" w:name="_Toc116662712"/>
      <w:bookmarkStart w:id="93" w:name="_Toc138689348"/>
      <w:bookmarkStart w:id="94" w:name="_Toc116663082"/>
      <w:bookmarkStart w:id="95" w:name="_Toc14201208"/>
      <w:bookmarkStart w:id="96" w:name="_Toc18385"/>
      <w:bookmarkStart w:id="97" w:name="_Toc26656939"/>
      <w:bookmarkStart w:id="98" w:name="_Toc15668"/>
      <w:r>
        <w:rPr>
          <w:rFonts w:eastAsia="黑体"/>
          <w:bCs/>
          <w:sz w:val="24"/>
          <w:szCs w:val="32"/>
        </w:rPr>
        <w:t>1.1 项目概况</w:t>
      </w:r>
      <w:bookmarkEnd w:id="92"/>
      <w:bookmarkEnd w:id="93"/>
      <w:bookmarkEnd w:id="94"/>
      <w:bookmarkEnd w:id="95"/>
      <w:bookmarkEnd w:id="96"/>
      <w:bookmarkEnd w:id="97"/>
      <w:bookmarkEnd w:id="98"/>
    </w:p>
    <w:p>
      <w:pPr>
        <w:spacing w:line="360" w:lineRule="auto"/>
        <w:ind w:firstLine="480"/>
        <w:rPr>
          <w:sz w:val="24"/>
        </w:rPr>
      </w:pPr>
      <w:r>
        <w:rPr>
          <w:sz w:val="24"/>
        </w:rPr>
        <w:t>1.1.1</w:t>
      </w:r>
      <w:r>
        <w:rPr>
          <w:rFonts w:hint="eastAsia"/>
          <w:sz w:val="24"/>
        </w:rPr>
        <w:t xml:space="preserve"> </w:t>
      </w:r>
      <w:r>
        <w:rPr>
          <w:sz w:val="24"/>
        </w:rPr>
        <w:t>根据《中华人民共和国招标投标法》《中华人民共和国招标投标法实施条例》《公路工程建设项目招标投标管理办法》等有关</w:t>
      </w:r>
      <w:r>
        <w:rPr>
          <w:rFonts w:hint="eastAsia"/>
          <w:sz w:val="24"/>
        </w:rPr>
        <w:t>法律法规</w:t>
      </w:r>
      <w:r>
        <w:rPr>
          <w:sz w:val="24"/>
        </w:rPr>
        <w:t>和规章的规定，本招标项目已具备招标条件，现对本招标项目进行招标。</w:t>
      </w:r>
    </w:p>
    <w:p>
      <w:pPr>
        <w:spacing w:line="360" w:lineRule="auto"/>
        <w:ind w:firstLine="480"/>
        <w:rPr>
          <w:sz w:val="24"/>
        </w:rPr>
      </w:pPr>
      <w:r>
        <w:rPr>
          <w:sz w:val="24"/>
        </w:rPr>
        <w:t>1.1.2 招标人：见招标公告。</w:t>
      </w:r>
    </w:p>
    <w:p>
      <w:pPr>
        <w:spacing w:line="360" w:lineRule="auto"/>
        <w:ind w:firstLine="480"/>
        <w:rPr>
          <w:sz w:val="24"/>
        </w:rPr>
      </w:pPr>
      <w:r>
        <w:rPr>
          <w:sz w:val="24"/>
        </w:rPr>
        <w:t>1.1.3 招标代理机构：见招标公告。</w:t>
      </w:r>
    </w:p>
    <w:p>
      <w:pPr>
        <w:spacing w:line="360" w:lineRule="auto"/>
        <w:ind w:firstLine="480"/>
        <w:rPr>
          <w:sz w:val="24"/>
        </w:rPr>
      </w:pPr>
      <w:r>
        <w:rPr>
          <w:sz w:val="24"/>
        </w:rPr>
        <w:t>1.1.4 招标项目名称：见招标公告。</w:t>
      </w:r>
    </w:p>
    <w:p>
      <w:pPr>
        <w:spacing w:line="360" w:lineRule="auto"/>
        <w:ind w:firstLine="480"/>
        <w:rPr>
          <w:sz w:val="24"/>
        </w:rPr>
      </w:pPr>
      <w:r>
        <w:rPr>
          <w:sz w:val="24"/>
        </w:rPr>
        <w:t>1.1.5 建设地点：见招标公告。</w:t>
      </w:r>
    </w:p>
    <w:p>
      <w:pPr>
        <w:keepNext/>
        <w:keepLines/>
        <w:spacing w:beforeLines="100" w:afterLines="100"/>
        <w:ind w:firstLine="0" w:firstLineChars="0"/>
        <w:outlineLvl w:val="2"/>
        <w:rPr>
          <w:rFonts w:eastAsia="黑体"/>
          <w:bCs/>
          <w:sz w:val="24"/>
          <w:szCs w:val="32"/>
        </w:rPr>
      </w:pPr>
      <w:bookmarkStart w:id="99" w:name="_Toc138689349"/>
      <w:bookmarkStart w:id="100" w:name="_Toc116663083"/>
      <w:bookmarkStart w:id="101" w:name="_Toc116662713"/>
      <w:bookmarkStart w:id="102" w:name="_Toc5058"/>
      <w:bookmarkStart w:id="103" w:name="_Toc14201209"/>
      <w:bookmarkStart w:id="104" w:name="_Toc17067"/>
      <w:bookmarkStart w:id="105" w:name="_Toc26656940"/>
      <w:r>
        <w:rPr>
          <w:rFonts w:eastAsia="黑体"/>
          <w:bCs/>
          <w:sz w:val="24"/>
          <w:szCs w:val="32"/>
        </w:rPr>
        <w:t>1.2 招标项目的资金来源和落实情况</w:t>
      </w:r>
      <w:bookmarkEnd w:id="99"/>
      <w:bookmarkEnd w:id="100"/>
      <w:bookmarkEnd w:id="101"/>
      <w:bookmarkEnd w:id="102"/>
      <w:bookmarkEnd w:id="103"/>
      <w:bookmarkEnd w:id="104"/>
      <w:bookmarkEnd w:id="105"/>
      <w:r>
        <w:rPr>
          <w:rFonts w:eastAsia="黑体"/>
          <w:bCs/>
          <w:sz w:val="24"/>
          <w:szCs w:val="32"/>
        </w:rPr>
        <w:t xml:space="preserve"> </w:t>
      </w:r>
    </w:p>
    <w:p>
      <w:pPr>
        <w:spacing w:line="360" w:lineRule="auto"/>
        <w:ind w:firstLine="480"/>
        <w:rPr>
          <w:sz w:val="24"/>
        </w:rPr>
      </w:pPr>
      <w:bookmarkStart w:id="106" w:name="_Toc26656941"/>
      <w:bookmarkStart w:id="107" w:name="_Toc14201210"/>
      <w:r>
        <w:rPr>
          <w:sz w:val="24"/>
        </w:rPr>
        <w:t>1.2.1 本招标项目的资金来源：见招标公告。</w:t>
      </w:r>
    </w:p>
    <w:p>
      <w:pPr>
        <w:spacing w:line="360" w:lineRule="auto"/>
        <w:ind w:firstLine="480"/>
        <w:rPr>
          <w:sz w:val="24"/>
        </w:rPr>
      </w:pPr>
      <w:r>
        <w:rPr>
          <w:sz w:val="24"/>
        </w:rPr>
        <w:t>1.2.2 本招标项目的出资比例：见招标公告。</w:t>
      </w:r>
    </w:p>
    <w:p>
      <w:pPr>
        <w:spacing w:line="360" w:lineRule="auto"/>
        <w:ind w:firstLine="480"/>
        <w:rPr>
          <w:sz w:val="24"/>
        </w:rPr>
      </w:pPr>
      <w:r>
        <w:rPr>
          <w:sz w:val="24"/>
        </w:rPr>
        <w:t>1.2.3 本招标项目的资金落实情况：见招标公告。</w:t>
      </w:r>
    </w:p>
    <w:p>
      <w:pPr>
        <w:keepNext/>
        <w:keepLines/>
        <w:spacing w:beforeLines="100" w:afterLines="100"/>
        <w:ind w:firstLine="0" w:firstLineChars="0"/>
        <w:outlineLvl w:val="2"/>
        <w:rPr>
          <w:rFonts w:eastAsia="黑体"/>
          <w:bCs/>
          <w:sz w:val="24"/>
          <w:szCs w:val="32"/>
        </w:rPr>
      </w:pPr>
      <w:bookmarkStart w:id="108" w:name="_Toc10445"/>
      <w:bookmarkStart w:id="109" w:name="_Toc116663084"/>
      <w:bookmarkStart w:id="110" w:name="_Toc116662714"/>
      <w:bookmarkStart w:id="111" w:name="_Toc17347"/>
      <w:bookmarkStart w:id="112" w:name="_Toc138689350"/>
      <w:r>
        <w:rPr>
          <w:rFonts w:eastAsia="黑体"/>
          <w:bCs/>
          <w:sz w:val="24"/>
          <w:szCs w:val="32"/>
        </w:rPr>
        <w:t>1.3 招标范围、计划工期、质量要求和安全</w:t>
      </w:r>
      <w:bookmarkEnd w:id="106"/>
      <w:bookmarkEnd w:id="107"/>
      <w:bookmarkEnd w:id="108"/>
      <w:r>
        <w:rPr>
          <w:rFonts w:eastAsia="黑体"/>
          <w:bCs/>
          <w:sz w:val="24"/>
          <w:szCs w:val="32"/>
        </w:rPr>
        <w:t>目标</w:t>
      </w:r>
      <w:bookmarkEnd w:id="109"/>
      <w:bookmarkEnd w:id="110"/>
      <w:bookmarkEnd w:id="111"/>
      <w:bookmarkEnd w:id="112"/>
    </w:p>
    <w:p>
      <w:pPr>
        <w:spacing w:line="360" w:lineRule="auto"/>
        <w:ind w:firstLine="480"/>
        <w:rPr>
          <w:sz w:val="24"/>
        </w:rPr>
      </w:pPr>
      <w:r>
        <w:rPr>
          <w:sz w:val="24"/>
        </w:rPr>
        <w:t>1.3.1 本次招标范围：见招标公告。</w:t>
      </w:r>
    </w:p>
    <w:p>
      <w:pPr>
        <w:spacing w:line="360" w:lineRule="auto"/>
        <w:ind w:firstLine="480"/>
        <w:rPr>
          <w:sz w:val="24"/>
        </w:rPr>
      </w:pPr>
      <w:r>
        <w:rPr>
          <w:sz w:val="24"/>
        </w:rPr>
        <w:t>1.3.2 本标段的计划工期：见投标人须知前附表。</w:t>
      </w:r>
    </w:p>
    <w:p>
      <w:pPr>
        <w:spacing w:line="360" w:lineRule="auto"/>
        <w:ind w:firstLine="480"/>
        <w:rPr>
          <w:sz w:val="24"/>
        </w:rPr>
      </w:pPr>
      <w:r>
        <w:rPr>
          <w:sz w:val="24"/>
        </w:rPr>
        <w:t>1.3.3 本标段的质量要求：见投标人须知前附表。</w:t>
      </w:r>
    </w:p>
    <w:p>
      <w:pPr>
        <w:spacing w:line="360" w:lineRule="auto"/>
        <w:ind w:firstLine="480"/>
        <w:rPr>
          <w:sz w:val="24"/>
        </w:rPr>
      </w:pPr>
      <w:r>
        <w:rPr>
          <w:sz w:val="24"/>
        </w:rPr>
        <w:t>1.3.4 本标段的安全目标：见投标人须知前附表。</w:t>
      </w:r>
    </w:p>
    <w:p>
      <w:pPr>
        <w:keepNext/>
        <w:keepLines/>
        <w:spacing w:beforeLines="100" w:afterLines="100"/>
        <w:ind w:firstLine="0" w:firstLineChars="0"/>
        <w:outlineLvl w:val="2"/>
        <w:rPr>
          <w:rFonts w:eastAsia="黑体"/>
          <w:bCs/>
          <w:sz w:val="24"/>
          <w:szCs w:val="32"/>
        </w:rPr>
      </w:pPr>
      <w:bookmarkStart w:id="113" w:name="_Toc26656942"/>
      <w:bookmarkStart w:id="114" w:name="_Toc18417"/>
      <w:bookmarkStart w:id="115" w:name="_Toc3719"/>
      <w:bookmarkStart w:id="116" w:name="_Toc116663085"/>
      <w:bookmarkStart w:id="117" w:name="_Toc116662715"/>
      <w:bookmarkStart w:id="118" w:name="_Toc14201211"/>
      <w:bookmarkStart w:id="119" w:name="_Toc138689351"/>
      <w:r>
        <w:rPr>
          <w:rFonts w:eastAsia="黑体"/>
          <w:bCs/>
          <w:sz w:val="24"/>
          <w:szCs w:val="32"/>
        </w:rPr>
        <w:t>1.4 投标人资格要求</w:t>
      </w:r>
      <w:bookmarkEnd w:id="113"/>
      <w:bookmarkEnd w:id="114"/>
      <w:bookmarkEnd w:id="115"/>
      <w:bookmarkEnd w:id="116"/>
      <w:bookmarkEnd w:id="117"/>
      <w:bookmarkEnd w:id="118"/>
      <w:bookmarkEnd w:id="119"/>
    </w:p>
    <w:p>
      <w:pPr>
        <w:spacing w:line="360" w:lineRule="auto"/>
        <w:ind w:firstLine="480"/>
        <w:rPr>
          <w:sz w:val="24"/>
        </w:rPr>
      </w:pPr>
      <w:r>
        <w:rPr>
          <w:sz w:val="24"/>
        </w:rPr>
        <w:t>1.4.1 投标人应具备承担本标段施工的资质条件、能力和信誉。</w:t>
      </w:r>
    </w:p>
    <w:p>
      <w:pPr>
        <w:spacing w:line="360" w:lineRule="auto"/>
        <w:ind w:firstLine="480"/>
        <w:rPr>
          <w:sz w:val="24"/>
        </w:rPr>
      </w:pPr>
      <w:r>
        <w:rPr>
          <w:sz w:val="24"/>
        </w:rPr>
        <w:t>（1）资质条件：见投标人须知前附表；</w:t>
      </w:r>
    </w:p>
    <w:p>
      <w:pPr>
        <w:spacing w:line="360" w:lineRule="auto"/>
        <w:ind w:firstLine="480"/>
        <w:rPr>
          <w:sz w:val="24"/>
        </w:rPr>
      </w:pPr>
      <w:r>
        <w:rPr>
          <w:sz w:val="24"/>
        </w:rPr>
        <w:t>（2）财务要求：见投标人须知前附表；</w:t>
      </w:r>
    </w:p>
    <w:p>
      <w:pPr>
        <w:spacing w:line="360" w:lineRule="auto"/>
        <w:ind w:firstLine="480"/>
        <w:rPr>
          <w:sz w:val="24"/>
        </w:rPr>
      </w:pPr>
      <w:r>
        <w:rPr>
          <w:sz w:val="24"/>
        </w:rPr>
        <w:t>（3）业绩要求：见投标人须知前附表；</w:t>
      </w:r>
    </w:p>
    <w:p>
      <w:pPr>
        <w:spacing w:line="360" w:lineRule="auto"/>
        <w:ind w:firstLine="480"/>
        <w:rPr>
          <w:sz w:val="24"/>
        </w:rPr>
      </w:pPr>
      <w:r>
        <w:rPr>
          <w:sz w:val="24"/>
        </w:rPr>
        <w:t>（4）信誉要求：见投标人须知前附表；</w:t>
      </w:r>
    </w:p>
    <w:p>
      <w:pPr>
        <w:spacing w:line="360" w:lineRule="auto"/>
        <w:ind w:firstLine="480"/>
        <w:rPr>
          <w:sz w:val="24"/>
        </w:rPr>
      </w:pPr>
      <w:r>
        <w:rPr>
          <w:sz w:val="24"/>
        </w:rPr>
        <w:t>（5）项目经理和项目总工资格：见投标人须知前附表；</w:t>
      </w:r>
    </w:p>
    <w:p>
      <w:pPr>
        <w:spacing w:line="360" w:lineRule="auto"/>
        <w:ind w:firstLine="480"/>
        <w:rPr>
          <w:sz w:val="24"/>
        </w:rPr>
      </w:pPr>
      <w:r>
        <w:rPr>
          <w:sz w:val="24"/>
        </w:rPr>
        <w:t>（6）其他要求：见投标人须知前附表。</w:t>
      </w:r>
    </w:p>
    <w:p>
      <w:pPr>
        <w:spacing w:line="360" w:lineRule="auto"/>
        <w:ind w:firstLine="480"/>
        <w:rPr>
          <w:bCs/>
          <w:snapToGrid w:val="0"/>
          <w:sz w:val="24"/>
        </w:rPr>
      </w:pPr>
      <w:r>
        <w:rPr>
          <w:sz w:val="24"/>
        </w:rPr>
        <w:t>需要提交的相关证明材料见本章第3.5款的规定。</w:t>
      </w:r>
    </w:p>
    <w:p>
      <w:pPr>
        <w:spacing w:line="360" w:lineRule="auto"/>
        <w:ind w:firstLine="480"/>
        <w:rPr>
          <w:sz w:val="24"/>
        </w:rPr>
      </w:pPr>
      <w:r>
        <w:rPr>
          <w:sz w:val="24"/>
        </w:rPr>
        <w:t xml:space="preserve">1.4.2 投标人须知前附表规定接受联合体投标的，联合体除应符合本章第1.4.1项和投标人须知前附表的要求外，还应遵守以下规定： </w:t>
      </w:r>
    </w:p>
    <w:p>
      <w:pPr>
        <w:spacing w:line="360" w:lineRule="auto"/>
        <w:ind w:firstLine="480"/>
        <w:rPr>
          <w:sz w:val="24"/>
        </w:rPr>
      </w:pPr>
      <w:r>
        <w:rPr>
          <w:sz w:val="24"/>
        </w:rPr>
        <w:t>（1）联合体各方应</w:t>
      </w:r>
      <w:r>
        <w:rPr>
          <w:rFonts w:hint="eastAsia"/>
          <w:sz w:val="24"/>
        </w:rPr>
        <w:t>按照</w:t>
      </w:r>
      <w:r>
        <w:rPr>
          <w:sz w:val="24"/>
        </w:rPr>
        <w:t>招标文件提供的格式签订联合体协议书，明确联合体牵头人和各方权利义务，并承诺就中标项目向招标人承担连带责任；</w:t>
      </w:r>
    </w:p>
    <w:p>
      <w:pPr>
        <w:spacing w:line="360" w:lineRule="auto"/>
        <w:ind w:firstLine="480"/>
        <w:rPr>
          <w:sz w:val="24"/>
        </w:rPr>
      </w:pPr>
      <w:r>
        <w:rPr>
          <w:sz w:val="24"/>
        </w:rPr>
        <w:t>（2）联合体协议书约定同一专业分工由两个以上成员共同承担的，按照承担该专业工作的资质等级最低的成员确定联合体该专业的资质；不同专业分工由不同成员分别承担的，按照各自的专业资质确定联合体的资质；</w:t>
      </w:r>
    </w:p>
    <w:p>
      <w:pPr>
        <w:spacing w:line="360" w:lineRule="auto"/>
        <w:ind w:firstLine="480"/>
        <w:rPr>
          <w:sz w:val="24"/>
        </w:rPr>
      </w:pPr>
      <w:r>
        <w:rPr>
          <w:sz w:val="24"/>
        </w:rPr>
        <w:t>（3）联合体各方不得再以自己名义单独或参加其他联合体在同一标段中投标；</w:t>
      </w:r>
    </w:p>
    <w:p>
      <w:pPr>
        <w:spacing w:line="360" w:lineRule="auto"/>
        <w:ind w:firstLine="480"/>
        <w:rPr>
          <w:sz w:val="24"/>
        </w:rPr>
      </w:pPr>
      <w:r>
        <w:rPr>
          <w:sz w:val="24"/>
        </w:rPr>
        <w:t>（4）联合体各方应分别按照本招标文件的要求，填写投标文件中的相应表格，并由联合体牵头人负责对联合体各成员的</w:t>
      </w:r>
      <w:r>
        <w:rPr>
          <w:rFonts w:hint="eastAsia"/>
          <w:sz w:val="24"/>
        </w:rPr>
        <w:t>资</w:t>
      </w:r>
      <w:r>
        <w:rPr>
          <w:sz w:val="24"/>
        </w:rPr>
        <w:t>料进行统一汇总后一并提交给招标人；联合体牵头人所提交的投标文件应认为已代表了联合体各成员的真实情况；</w:t>
      </w:r>
    </w:p>
    <w:p>
      <w:pPr>
        <w:spacing w:line="360" w:lineRule="auto"/>
        <w:ind w:firstLine="480"/>
        <w:rPr>
          <w:sz w:val="24"/>
        </w:rPr>
      </w:pPr>
      <w:r>
        <w:rPr>
          <w:sz w:val="24"/>
        </w:rPr>
        <w:t>（5）尽管委任了联合体牵头人，但联合体各成员在投标、签订合同与履行合同过程中，仍负有连带的和各自的法律责任。</w:t>
      </w:r>
    </w:p>
    <w:p>
      <w:pPr>
        <w:spacing w:line="360" w:lineRule="auto"/>
        <w:ind w:firstLine="480"/>
        <w:rPr>
          <w:sz w:val="24"/>
        </w:rPr>
      </w:pPr>
      <w:r>
        <w:rPr>
          <w:sz w:val="24"/>
        </w:rPr>
        <w:t xml:space="preserve">1.4.3 </w:t>
      </w:r>
      <w:r>
        <w:rPr>
          <w:rFonts w:hint="default"/>
          <w:sz w:val="24"/>
        </w:rPr>
        <w:t>投标人（包括联合体各成员）不得存在下列</w:t>
      </w:r>
      <w:r>
        <w:rPr>
          <w:rFonts w:hint="eastAsia"/>
          <w:sz w:val="24"/>
          <w:lang w:val="en-US" w:eastAsia="zh-CN"/>
        </w:rPr>
        <w:t>情形</w:t>
      </w:r>
      <w:r>
        <w:rPr>
          <w:color w:val="0000FF"/>
          <w:sz w:val="24"/>
        </w:rPr>
        <w:t>：</w:t>
      </w:r>
    </w:p>
    <w:p>
      <w:pPr>
        <w:spacing w:line="360" w:lineRule="auto"/>
        <w:ind w:firstLine="480"/>
        <w:rPr>
          <w:sz w:val="24"/>
        </w:rPr>
      </w:pPr>
      <w:r>
        <w:rPr>
          <w:sz w:val="24"/>
        </w:rPr>
        <w:t>（1）为招标人不具有独立法人资格的附属机构（单位）；</w:t>
      </w:r>
    </w:p>
    <w:p>
      <w:pPr>
        <w:spacing w:line="360" w:lineRule="auto"/>
        <w:ind w:firstLine="480"/>
        <w:rPr>
          <w:sz w:val="24"/>
        </w:rPr>
      </w:pPr>
      <w:r>
        <w:rPr>
          <w:sz w:val="24"/>
        </w:rPr>
        <w:t>（2）与招标人存在利害关系且可能影响招标公正性；</w:t>
      </w:r>
    </w:p>
    <w:p>
      <w:pPr>
        <w:spacing w:line="360" w:lineRule="auto"/>
        <w:ind w:firstLine="480"/>
        <w:rPr>
          <w:sz w:val="24"/>
        </w:rPr>
      </w:pPr>
      <w:r>
        <w:rPr>
          <w:sz w:val="24"/>
        </w:rPr>
        <w:t>（3）与本标段的其他投标人同为一个单位负责人；</w:t>
      </w:r>
    </w:p>
    <w:p>
      <w:pPr>
        <w:spacing w:line="360" w:lineRule="auto"/>
        <w:ind w:firstLine="480"/>
        <w:rPr>
          <w:sz w:val="24"/>
        </w:rPr>
      </w:pPr>
      <w:r>
        <w:rPr>
          <w:sz w:val="24"/>
        </w:rPr>
        <w:t>（4）与本标段的其他投标人存在控股、管理关系；</w:t>
      </w:r>
    </w:p>
    <w:p>
      <w:pPr>
        <w:spacing w:line="360" w:lineRule="auto"/>
        <w:ind w:firstLine="480"/>
        <w:rPr>
          <w:sz w:val="24"/>
        </w:rPr>
      </w:pPr>
      <w:r>
        <w:rPr>
          <w:sz w:val="24"/>
        </w:rPr>
        <w:t>（5）为本标段前期准备提供设计或咨询服务的法人或其任何附属机构（单位）；</w:t>
      </w:r>
    </w:p>
    <w:p>
      <w:pPr>
        <w:spacing w:line="360" w:lineRule="auto"/>
        <w:ind w:firstLine="480"/>
        <w:rPr>
          <w:sz w:val="24"/>
        </w:rPr>
      </w:pPr>
      <w:r>
        <w:rPr>
          <w:sz w:val="24"/>
        </w:rPr>
        <w:t>（6）为本标段的监理人；</w:t>
      </w:r>
    </w:p>
    <w:p>
      <w:pPr>
        <w:spacing w:line="360" w:lineRule="auto"/>
        <w:ind w:firstLine="480"/>
        <w:rPr>
          <w:sz w:val="24"/>
        </w:rPr>
      </w:pPr>
      <w:r>
        <w:rPr>
          <w:sz w:val="24"/>
        </w:rPr>
        <w:t xml:space="preserve">（7）为本标段的代建人； </w:t>
      </w:r>
    </w:p>
    <w:p>
      <w:pPr>
        <w:spacing w:line="360" w:lineRule="auto"/>
        <w:ind w:firstLine="480"/>
        <w:rPr>
          <w:sz w:val="24"/>
        </w:rPr>
      </w:pPr>
      <w:r>
        <w:rPr>
          <w:sz w:val="24"/>
        </w:rPr>
        <w:t>（8）为本标段的招标代理机构；</w:t>
      </w:r>
    </w:p>
    <w:p>
      <w:pPr>
        <w:spacing w:line="360" w:lineRule="auto"/>
        <w:ind w:firstLine="480"/>
        <w:rPr>
          <w:sz w:val="24"/>
        </w:rPr>
      </w:pPr>
      <w:r>
        <w:rPr>
          <w:sz w:val="24"/>
        </w:rPr>
        <w:t>（9）与本标段的监理人或代建人或招标代理机构同为一个法定代表人；</w:t>
      </w:r>
    </w:p>
    <w:p>
      <w:pPr>
        <w:spacing w:line="360" w:lineRule="auto"/>
        <w:ind w:firstLine="480"/>
        <w:rPr>
          <w:sz w:val="24"/>
        </w:rPr>
      </w:pPr>
      <w:r>
        <w:rPr>
          <w:sz w:val="24"/>
        </w:rPr>
        <w:t>（10）与本标段的监理人或代建人或招标代理机构存在控股或参股关系；</w:t>
      </w:r>
    </w:p>
    <w:p>
      <w:pPr>
        <w:spacing w:line="360" w:lineRule="auto"/>
        <w:ind w:firstLine="480"/>
        <w:rPr>
          <w:sz w:val="24"/>
        </w:rPr>
      </w:pPr>
      <w:r>
        <w:rPr>
          <w:rFonts w:hint="eastAsia"/>
          <w:sz w:val="24"/>
        </w:rPr>
        <w:t>（11）被依法暂停或者取消投标资格，且在处罚期和处罚范围内（以有关行政管理部门的行政处罚决定或司法机关出具的有关法律文书为准）；</w:t>
      </w:r>
    </w:p>
    <w:p>
      <w:pPr>
        <w:spacing w:line="360" w:lineRule="auto"/>
        <w:ind w:firstLine="480"/>
        <w:rPr>
          <w:sz w:val="24"/>
        </w:rPr>
      </w:pPr>
      <w:r>
        <w:rPr>
          <w:rFonts w:hint="eastAsia"/>
          <w:sz w:val="24"/>
        </w:rPr>
        <w:t>（12）在最近三年内（自投标截止之日向前追溯3年）有骗取中标或串通投标或严重违约或重大工程质量事故或重大生产安全事故的（以有关行业主管部门的行政处罚决定或司法机关出具的有关法律文书为准），前述行政处罚已完成信用修复的，但自行政处罚作出机关或信用修复主管部门同意修复之日起满一年的，不受三年期限限制；</w:t>
      </w:r>
    </w:p>
    <w:p>
      <w:pPr>
        <w:spacing w:line="360" w:lineRule="auto"/>
        <w:ind w:firstLine="480"/>
        <w:rPr>
          <w:sz w:val="24"/>
        </w:rPr>
      </w:pPr>
      <w:r>
        <w:rPr>
          <w:rFonts w:hint="eastAsia"/>
          <w:sz w:val="24"/>
        </w:rPr>
        <w:t>（13）被责令停业，暂扣或吊销执照，或吊销资质证书；</w:t>
      </w:r>
    </w:p>
    <w:p>
      <w:pPr>
        <w:spacing w:line="360" w:lineRule="auto"/>
        <w:ind w:firstLine="480"/>
        <w:rPr>
          <w:sz w:val="24"/>
        </w:rPr>
      </w:pPr>
      <w:r>
        <w:rPr>
          <w:rFonts w:hint="eastAsia"/>
          <w:sz w:val="24"/>
        </w:rPr>
        <w:t>（14）进入清算程序，或被宣告破产，或其他丧失履约能力的情形；</w:t>
      </w:r>
    </w:p>
    <w:p>
      <w:pPr>
        <w:spacing w:line="360" w:lineRule="auto"/>
        <w:ind w:firstLine="480"/>
        <w:rPr>
          <w:sz w:val="24"/>
        </w:rPr>
      </w:pPr>
      <w:r>
        <w:rPr>
          <w:rFonts w:hint="eastAsia"/>
          <w:sz w:val="24"/>
        </w:rPr>
        <w:t>（15）投标人或其法定代表人、项目经理在近三年内（自投标截止之日向前追溯3年）有行贿犯罪行为；</w:t>
      </w:r>
    </w:p>
    <w:p>
      <w:pPr>
        <w:spacing w:line="360" w:lineRule="auto"/>
        <w:ind w:firstLine="480"/>
        <w:rPr>
          <w:sz w:val="24"/>
        </w:rPr>
      </w:pPr>
      <w:r>
        <w:rPr>
          <w:sz w:val="24"/>
        </w:rPr>
        <w:t>（1</w:t>
      </w:r>
      <w:r>
        <w:rPr>
          <w:rFonts w:hint="eastAsia"/>
          <w:sz w:val="24"/>
        </w:rPr>
        <w:t>6</w:t>
      </w:r>
      <w:r>
        <w:rPr>
          <w:sz w:val="24"/>
        </w:rPr>
        <w:t>）法律法规规定的其他禁止投标的情形；</w:t>
      </w:r>
    </w:p>
    <w:p>
      <w:pPr>
        <w:spacing w:line="360" w:lineRule="auto"/>
        <w:ind w:firstLine="480"/>
        <w:rPr>
          <w:sz w:val="24"/>
        </w:rPr>
      </w:pPr>
      <w:r>
        <w:rPr>
          <w:sz w:val="24"/>
        </w:rPr>
        <w:t>（1</w:t>
      </w:r>
      <w:r>
        <w:rPr>
          <w:rFonts w:hint="eastAsia"/>
          <w:sz w:val="24"/>
        </w:rPr>
        <w:t>7</w:t>
      </w:r>
      <w:r>
        <w:rPr>
          <w:sz w:val="24"/>
        </w:rPr>
        <w:t>）投标人须知前附表规定的其他情形。</w:t>
      </w:r>
    </w:p>
    <w:p>
      <w:pPr>
        <w:spacing w:line="360" w:lineRule="auto"/>
        <w:ind w:firstLine="480"/>
        <w:rPr>
          <w:sz w:val="24"/>
        </w:rPr>
      </w:pPr>
      <w:r>
        <w:rPr>
          <w:sz w:val="24"/>
        </w:rPr>
        <w:t>1.4.4</w:t>
      </w:r>
      <w:r>
        <w:rPr>
          <w:rFonts w:hint="eastAsia"/>
          <w:sz w:val="24"/>
        </w:rPr>
        <w:t xml:space="preserve"> </w:t>
      </w:r>
      <w:r>
        <w:rPr>
          <w:sz w:val="24"/>
        </w:rPr>
        <w:t>投标人（包括联合体各成员）不得存在下列不良状况或不良信用记录：</w:t>
      </w:r>
    </w:p>
    <w:p>
      <w:pPr>
        <w:numPr>
          <w:ilvl w:val="0"/>
          <w:numId w:val="2"/>
        </w:numPr>
        <w:spacing w:line="360" w:lineRule="auto"/>
        <w:ind w:firstLine="480"/>
        <w:rPr>
          <w:sz w:val="24"/>
        </w:rPr>
      </w:pPr>
      <w:r>
        <w:rPr>
          <w:sz w:val="24"/>
        </w:rPr>
        <w:t>在国家企业信用信息公示系统（http://www.gsxt.gov.cn/）中被列入严重违法失信企业名单；</w:t>
      </w:r>
    </w:p>
    <w:p>
      <w:pPr>
        <w:numPr>
          <w:ilvl w:val="0"/>
          <w:numId w:val="2"/>
        </w:numPr>
        <w:spacing w:line="360" w:lineRule="auto"/>
        <w:ind w:firstLine="480"/>
        <w:rPr>
          <w:sz w:val="24"/>
        </w:rPr>
      </w:pPr>
      <w:r>
        <w:rPr>
          <w:rFonts w:hint="eastAsia" w:ascii="宋体" w:hAnsi="宋体" w:cs="宋体"/>
          <w:sz w:val="24"/>
        </w:rPr>
        <w:t>在“信用中国”网</w:t>
      </w:r>
      <w:r>
        <w:rPr>
          <w:sz w:val="24"/>
        </w:rPr>
        <w:t>站（http://www.creditchina.gov.cn/）中被列入失信被执行人名单；</w:t>
      </w:r>
    </w:p>
    <w:p>
      <w:pPr>
        <w:numPr>
          <w:ilvl w:val="0"/>
          <w:numId w:val="2"/>
        </w:numPr>
        <w:spacing w:line="360" w:lineRule="auto"/>
        <w:ind w:firstLine="480"/>
        <w:rPr>
          <w:sz w:val="24"/>
        </w:rPr>
      </w:pPr>
      <w:r>
        <w:rPr>
          <w:sz w:val="24"/>
        </w:rPr>
        <w:t>在</w:t>
      </w:r>
      <w:r>
        <w:rPr>
          <w:rFonts w:hint="eastAsia" w:ascii="宋体" w:hAnsi="宋体" w:cs="宋体"/>
          <w:sz w:val="24"/>
        </w:rPr>
        <w:t>“信用中国”</w:t>
      </w:r>
      <w:r>
        <w:rPr>
          <w:sz w:val="24"/>
        </w:rPr>
        <w:t>网站（http://www.creditchina.gov.cn/）中被列入重大税收违法失信主体名单；</w:t>
      </w:r>
    </w:p>
    <w:p>
      <w:pPr>
        <w:numPr>
          <w:ilvl w:val="0"/>
          <w:numId w:val="2"/>
        </w:numPr>
        <w:spacing w:line="360" w:lineRule="auto"/>
        <w:ind w:firstLine="480"/>
        <w:rPr>
          <w:sz w:val="24"/>
        </w:rPr>
      </w:pPr>
      <w:r>
        <w:rPr>
          <w:sz w:val="24"/>
        </w:rPr>
        <w:t>在</w:t>
      </w:r>
      <w:r>
        <w:rPr>
          <w:rFonts w:hint="eastAsia" w:ascii="宋体" w:hAnsi="宋体" w:cs="宋体"/>
          <w:sz w:val="24"/>
        </w:rPr>
        <w:t>“信用中国”</w:t>
      </w:r>
      <w:r>
        <w:rPr>
          <w:sz w:val="24"/>
        </w:rPr>
        <w:t>网站（http://www.creditchina.gov.cn/）中被列入拖欠农民工工资失信联合惩戒对象名单；</w:t>
      </w:r>
    </w:p>
    <w:p>
      <w:pPr>
        <w:numPr>
          <w:ilvl w:val="0"/>
          <w:numId w:val="2"/>
        </w:numPr>
        <w:spacing w:line="360" w:lineRule="auto"/>
        <w:ind w:firstLine="480"/>
        <w:rPr>
          <w:sz w:val="24"/>
        </w:rPr>
      </w:pPr>
      <w:r>
        <w:rPr>
          <w:sz w:val="24"/>
        </w:rPr>
        <w:t>投标人须知前附表规定的其他情形。</w:t>
      </w:r>
    </w:p>
    <w:p>
      <w:pPr>
        <w:spacing w:line="360" w:lineRule="auto"/>
        <w:ind w:firstLine="480"/>
        <w:rPr>
          <w:sz w:val="24"/>
        </w:rPr>
      </w:pPr>
      <w:r>
        <w:rPr>
          <w:sz w:val="24"/>
        </w:rPr>
        <w:t>1.4.5投标人（包括联合体各成员）应进入交通运输部</w:t>
      </w:r>
      <w:r>
        <w:rPr>
          <w:rFonts w:hint="eastAsia"/>
          <w:color w:val="auto"/>
          <w:sz w:val="24"/>
        </w:rPr>
        <w:t>“</w:t>
      </w:r>
      <w:r>
        <w:rPr>
          <w:rFonts w:hint="eastAsia"/>
          <w:color w:val="auto"/>
          <w:sz w:val="24"/>
          <w:lang w:eastAsia="zh-CN"/>
        </w:rPr>
        <w:t>全国公路建设市场监督管理系统（https://hwdms.mot.gov.cn/BMWebSite/）</w:t>
      </w:r>
      <w:r>
        <w:rPr>
          <w:rFonts w:hint="eastAsia"/>
          <w:sz w:val="24"/>
        </w:rPr>
        <w:t>”</w:t>
      </w:r>
      <w:r>
        <w:rPr>
          <w:sz w:val="24"/>
        </w:rPr>
        <w:t>中的公路工程施工资质企业名录，且投标人名称和资质与该名录中的相应企业名称和资质完全一致。投标人不满足本项规定条件的，将被否决投标。（公路工程施工资质企业名录</w:t>
      </w:r>
      <w:r>
        <w:rPr>
          <w:rFonts w:hint="eastAsia"/>
          <w:sz w:val="24"/>
        </w:rPr>
        <w:t>是否采用详</w:t>
      </w:r>
      <w:r>
        <w:rPr>
          <w:sz w:val="24"/>
        </w:rPr>
        <w:t>见投标人须知前附表规定）</w:t>
      </w:r>
    </w:p>
    <w:p>
      <w:pPr>
        <w:keepNext/>
        <w:keepLines/>
        <w:spacing w:beforeLines="100" w:afterLines="100"/>
        <w:ind w:firstLine="0" w:firstLineChars="0"/>
        <w:outlineLvl w:val="2"/>
        <w:rPr>
          <w:rFonts w:eastAsia="黑体"/>
          <w:bCs/>
          <w:sz w:val="24"/>
          <w:szCs w:val="32"/>
        </w:rPr>
      </w:pPr>
      <w:bookmarkStart w:id="120" w:name="_Toc26656943"/>
      <w:bookmarkStart w:id="121" w:name="_Toc116662716"/>
      <w:bookmarkStart w:id="122" w:name="_Toc14201212"/>
      <w:bookmarkStart w:id="123" w:name="_Toc126"/>
      <w:bookmarkStart w:id="124" w:name="_Toc12600"/>
      <w:bookmarkStart w:id="125" w:name="_Toc138689352"/>
      <w:bookmarkStart w:id="126" w:name="_Toc116663086"/>
      <w:r>
        <w:rPr>
          <w:rFonts w:eastAsia="黑体"/>
          <w:bCs/>
          <w:sz w:val="24"/>
          <w:szCs w:val="32"/>
        </w:rPr>
        <w:t>1.5 费用承担</w:t>
      </w:r>
      <w:bookmarkEnd w:id="120"/>
      <w:bookmarkEnd w:id="121"/>
      <w:bookmarkEnd w:id="122"/>
      <w:bookmarkEnd w:id="123"/>
      <w:bookmarkEnd w:id="124"/>
      <w:bookmarkEnd w:id="125"/>
      <w:bookmarkEnd w:id="126"/>
    </w:p>
    <w:p>
      <w:pPr>
        <w:spacing w:line="360" w:lineRule="auto"/>
        <w:ind w:firstLine="480"/>
        <w:rPr>
          <w:sz w:val="24"/>
        </w:rPr>
      </w:pPr>
      <w:r>
        <w:rPr>
          <w:sz w:val="24"/>
        </w:rPr>
        <w:t>投标人准备和参加投标活动发生的费用自理。</w:t>
      </w:r>
    </w:p>
    <w:p>
      <w:pPr>
        <w:keepNext/>
        <w:keepLines/>
        <w:spacing w:beforeLines="100" w:afterLines="100"/>
        <w:ind w:firstLine="0" w:firstLineChars="0"/>
        <w:outlineLvl w:val="2"/>
        <w:rPr>
          <w:rFonts w:eastAsia="黑体"/>
          <w:bCs/>
          <w:sz w:val="24"/>
          <w:szCs w:val="32"/>
        </w:rPr>
      </w:pPr>
      <w:bookmarkStart w:id="127" w:name="_Toc26656944"/>
      <w:bookmarkStart w:id="128" w:name="_Toc19478"/>
      <w:bookmarkStart w:id="129" w:name="_Toc116663087"/>
      <w:bookmarkStart w:id="130" w:name="_Toc116662717"/>
      <w:bookmarkStart w:id="131" w:name="_Toc12130"/>
      <w:bookmarkStart w:id="132" w:name="_Toc138689353"/>
      <w:bookmarkStart w:id="133" w:name="_Toc14201213"/>
      <w:r>
        <w:rPr>
          <w:rFonts w:eastAsia="黑体"/>
          <w:bCs/>
          <w:sz w:val="24"/>
          <w:szCs w:val="32"/>
        </w:rPr>
        <w:t>1.6 保密</w:t>
      </w:r>
      <w:bookmarkEnd w:id="127"/>
      <w:bookmarkEnd w:id="128"/>
      <w:bookmarkEnd w:id="129"/>
      <w:bookmarkEnd w:id="130"/>
      <w:bookmarkEnd w:id="131"/>
      <w:bookmarkEnd w:id="132"/>
      <w:bookmarkEnd w:id="133"/>
    </w:p>
    <w:p>
      <w:pPr>
        <w:spacing w:line="360" w:lineRule="auto"/>
        <w:ind w:firstLine="480"/>
        <w:rPr>
          <w:sz w:val="24"/>
        </w:rPr>
      </w:pPr>
      <w:r>
        <w:rPr>
          <w:sz w:val="24"/>
        </w:rPr>
        <w:t>参与招标投标活动的各方应对招标文件和投标文件中的商业和技术等秘密保密，否则应承担相应的法律责任。</w:t>
      </w:r>
    </w:p>
    <w:p>
      <w:pPr>
        <w:keepNext/>
        <w:keepLines/>
        <w:spacing w:beforeLines="100" w:afterLines="100"/>
        <w:ind w:firstLine="0" w:firstLineChars="0"/>
        <w:outlineLvl w:val="2"/>
        <w:rPr>
          <w:rFonts w:eastAsia="黑体"/>
          <w:bCs/>
          <w:sz w:val="24"/>
          <w:szCs w:val="32"/>
        </w:rPr>
      </w:pPr>
      <w:bookmarkStart w:id="134" w:name="_Toc116663088"/>
      <w:bookmarkStart w:id="135" w:name="_Toc26656945"/>
      <w:bookmarkStart w:id="136" w:name="_Toc29845"/>
      <w:bookmarkStart w:id="137" w:name="_Toc116662718"/>
      <w:bookmarkStart w:id="138" w:name="_Toc14201214"/>
      <w:bookmarkStart w:id="139" w:name="_Toc138689354"/>
      <w:bookmarkStart w:id="140" w:name="_Toc9220"/>
      <w:r>
        <w:rPr>
          <w:rFonts w:eastAsia="黑体"/>
          <w:bCs/>
          <w:sz w:val="24"/>
          <w:szCs w:val="32"/>
        </w:rPr>
        <w:t>1.7 语言文字</w:t>
      </w:r>
      <w:bookmarkEnd w:id="134"/>
      <w:bookmarkEnd w:id="135"/>
      <w:bookmarkEnd w:id="136"/>
      <w:bookmarkEnd w:id="137"/>
      <w:bookmarkEnd w:id="138"/>
      <w:bookmarkEnd w:id="139"/>
      <w:bookmarkEnd w:id="140"/>
    </w:p>
    <w:p>
      <w:pPr>
        <w:spacing w:line="360" w:lineRule="auto"/>
        <w:ind w:firstLine="480"/>
        <w:rPr>
          <w:sz w:val="24"/>
        </w:rPr>
      </w:pPr>
      <w:r>
        <w:rPr>
          <w:sz w:val="24"/>
        </w:rPr>
        <w:t>招标投标文件使用的语言文字为中文。专用术语使用外文的，应附有中文注释。</w:t>
      </w:r>
    </w:p>
    <w:p>
      <w:pPr>
        <w:keepNext/>
        <w:keepLines/>
        <w:spacing w:beforeLines="100" w:afterLines="100"/>
        <w:ind w:firstLine="0" w:firstLineChars="0"/>
        <w:outlineLvl w:val="2"/>
        <w:rPr>
          <w:rFonts w:eastAsia="黑体"/>
          <w:bCs/>
          <w:sz w:val="24"/>
          <w:szCs w:val="32"/>
        </w:rPr>
      </w:pPr>
      <w:bookmarkStart w:id="141" w:name="_Toc26656946"/>
      <w:bookmarkStart w:id="142" w:name="_Toc116663089"/>
      <w:bookmarkStart w:id="143" w:name="_Toc116662719"/>
      <w:bookmarkStart w:id="144" w:name="_Toc20106"/>
      <w:bookmarkStart w:id="145" w:name="_Toc23768"/>
      <w:bookmarkStart w:id="146" w:name="_Toc14201215"/>
      <w:bookmarkStart w:id="147" w:name="_Toc138689355"/>
      <w:r>
        <w:rPr>
          <w:rFonts w:eastAsia="黑体"/>
          <w:bCs/>
          <w:sz w:val="24"/>
          <w:szCs w:val="32"/>
        </w:rPr>
        <w:t>1.8 计量单位</w:t>
      </w:r>
      <w:bookmarkEnd w:id="141"/>
      <w:bookmarkEnd w:id="142"/>
      <w:bookmarkEnd w:id="143"/>
      <w:bookmarkEnd w:id="144"/>
      <w:bookmarkEnd w:id="145"/>
      <w:bookmarkEnd w:id="146"/>
      <w:bookmarkEnd w:id="147"/>
    </w:p>
    <w:p>
      <w:pPr>
        <w:spacing w:line="360" w:lineRule="auto"/>
        <w:ind w:firstLine="480"/>
        <w:rPr>
          <w:sz w:val="24"/>
        </w:rPr>
      </w:pPr>
      <w:r>
        <w:rPr>
          <w:sz w:val="24"/>
        </w:rPr>
        <w:t>所有计量均采用中华人民共和国法定计量单位。</w:t>
      </w:r>
    </w:p>
    <w:p>
      <w:pPr>
        <w:keepNext/>
        <w:keepLines/>
        <w:spacing w:beforeLines="100" w:afterLines="100"/>
        <w:ind w:firstLine="0" w:firstLineChars="0"/>
        <w:outlineLvl w:val="2"/>
        <w:rPr>
          <w:rFonts w:eastAsia="黑体"/>
          <w:bCs/>
          <w:sz w:val="24"/>
          <w:szCs w:val="32"/>
        </w:rPr>
      </w:pPr>
      <w:bookmarkStart w:id="148" w:name="_Toc116662720"/>
      <w:bookmarkStart w:id="149" w:name="_Toc116663090"/>
      <w:bookmarkStart w:id="150" w:name="_Toc14201216"/>
      <w:bookmarkStart w:id="151" w:name="_Toc20669"/>
      <w:bookmarkStart w:id="152" w:name="_Toc22440"/>
      <w:bookmarkStart w:id="153" w:name="_Toc26656947"/>
      <w:bookmarkStart w:id="154" w:name="_Toc138689356"/>
      <w:r>
        <w:rPr>
          <w:rFonts w:eastAsia="黑体"/>
          <w:bCs/>
          <w:sz w:val="24"/>
          <w:szCs w:val="32"/>
        </w:rPr>
        <w:t>1.9 踏勘现场</w:t>
      </w:r>
      <w:bookmarkEnd w:id="148"/>
      <w:bookmarkEnd w:id="149"/>
      <w:bookmarkEnd w:id="150"/>
      <w:bookmarkEnd w:id="151"/>
      <w:bookmarkEnd w:id="152"/>
      <w:bookmarkEnd w:id="153"/>
      <w:bookmarkEnd w:id="154"/>
    </w:p>
    <w:p>
      <w:pPr>
        <w:spacing w:line="360" w:lineRule="auto"/>
        <w:ind w:firstLine="480"/>
        <w:rPr>
          <w:sz w:val="24"/>
        </w:rPr>
      </w:pPr>
      <w:r>
        <w:rPr>
          <w:sz w:val="24"/>
        </w:rPr>
        <w:t>1.9.1 第一章</w:t>
      </w:r>
      <w:r>
        <w:rPr>
          <w:rFonts w:hint="eastAsia" w:ascii="宋体" w:hAnsi="宋体" w:cs="宋体"/>
          <w:sz w:val="24"/>
        </w:rPr>
        <w:t>“招标公告”</w:t>
      </w:r>
      <w:r>
        <w:rPr>
          <w:sz w:val="24"/>
        </w:rPr>
        <w:t>规定组织踏勘现场的，招标人</w:t>
      </w:r>
      <w:r>
        <w:rPr>
          <w:rFonts w:hint="eastAsia"/>
          <w:sz w:val="24"/>
        </w:rPr>
        <w:t>按照</w:t>
      </w:r>
      <w:r>
        <w:rPr>
          <w:sz w:val="24"/>
        </w:rPr>
        <w:t>规定的时间、地点组织投标人踏勘项目现场。部分投标人未按时参加踏勘现场的，不影响踏勘现场的正常进行。招标人不得组织单个或部分投标人踏勘项目现场。</w:t>
      </w:r>
    </w:p>
    <w:p>
      <w:pPr>
        <w:spacing w:line="360" w:lineRule="auto"/>
        <w:ind w:firstLine="480"/>
        <w:rPr>
          <w:sz w:val="24"/>
        </w:rPr>
      </w:pPr>
      <w:r>
        <w:rPr>
          <w:sz w:val="24"/>
        </w:rPr>
        <w:t>1.9.2 投标人踏勘现场发生的费用自理。</w:t>
      </w:r>
    </w:p>
    <w:p>
      <w:pPr>
        <w:spacing w:line="360" w:lineRule="auto"/>
        <w:ind w:firstLine="480"/>
        <w:rPr>
          <w:sz w:val="24"/>
        </w:rPr>
      </w:pPr>
      <w:r>
        <w:rPr>
          <w:sz w:val="24"/>
        </w:rPr>
        <w:t>1.9.3 除招标人的原因外，投标人自行负责在踏勘现场中所发生的人员伤亡和财产损失。</w:t>
      </w:r>
    </w:p>
    <w:p>
      <w:pPr>
        <w:spacing w:line="360" w:lineRule="auto"/>
        <w:ind w:firstLine="480"/>
        <w:rPr>
          <w:sz w:val="24"/>
        </w:rPr>
      </w:pPr>
      <w:r>
        <w:rPr>
          <w:sz w:val="24"/>
        </w:rPr>
        <w:t>1.9.4 招标人在踏勘现场中介绍的工程场地和相关的周边环境情况，供投标人在编制投标文件时参考，招标人不对投标人据此作出的判断和决策负责。</w:t>
      </w:r>
    </w:p>
    <w:p>
      <w:pPr>
        <w:spacing w:line="360" w:lineRule="auto"/>
        <w:ind w:firstLine="480"/>
        <w:rPr>
          <w:sz w:val="24"/>
        </w:rPr>
      </w:pPr>
      <w:r>
        <w:rPr>
          <w:sz w:val="24"/>
        </w:rPr>
        <w:t>1.9.5</w:t>
      </w:r>
      <w:r>
        <w:rPr>
          <w:rFonts w:hint="eastAsia"/>
          <w:sz w:val="24"/>
        </w:rPr>
        <w:t xml:space="preserve"> </w:t>
      </w:r>
      <w:r>
        <w:rPr>
          <w:bCs/>
          <w:sz w:val="24"/>
        </w:rPr>
        <w:t>无论投标人是否到施工现场实地踏勘，中标后签订合同时和履约过程中，投标人不得以不完全了解现场情况或现场情况与招标文件描述不一致等为由，提出任何形式的增加工程造价或索赔的要求。</w:t>
      </w:r>
    </w:p>
    <w:p>
      <w:pPr>
        <w:keepNext/>
        <w:keepLines/>
        <w:spacing w:beforeLines="100" w:afterLines="100"/>
        <w:ind w:firstLine="0" w:firstLineChars="0"/>
        <w:outlineLvl w:val="2"/>
        <w:rPr>
          <w:rFonts w:eastAsia="黑体"/>
          <w:bCs/>
          <w:sz w:val="24"/>
          <w:szCs w:val="32"/>
        </w:rPr>
      </w:pPr>
      <w:bookmarkStart w:id="155" w:name="_Toc116662721"/>
      <w:bookmarkStart w:id="156" w:name="_Toc116663091"/>
      <w:bookmarkStart w:id="157" w:name="_Toc14201217"/>
      <w:bookmarkStart w:id="158" w:name="_Toc138689357"/>
      <w:bookmarkStart w:id="159" w:name="_Toc31454"/>
      <w:bookmarkStart w:id="160" w:name="_Toc26656948"/>
      <w:bookmarkStart w:id="161" w:name="_Toc15045"/>
      <w:bookmarkStart w:id="162" w:name="_Toc26656949"/>
      <w:bookmarkStart w:id="163" w:name="_Toc14201218"/>
      <w:r>
        <w:rPr>
          <w:rFonts w:eastAsia="黑体"/>
          <w:bCs/>
          <w:sz w:val="24"/>
          <w:szCs w:val="32"/>
        </w:rPr>
        <w:t>1.10 投标预备会</w:t>
      </w:r>
      <w:bookmarkEnd w:id="155"/>
      <w:bookmarkEnd w:id="156"/>
      <w:bookmarkEnd w:id="157"/>
      <w:bookmarkEnd w:id="158"/>
      <w:bookmarkEnd w:id="159"/>
      <w:bookmarkEnd w:id="160"/>
    </w:p>
    <w:p>
      <w:pPr>
        <w:spacing w:line="360" w:lineRule="auto"/>
        <w:ind w:firstLine="480"/>
        <w:rPr>
          <w:sz w:val="24"/>
        </w:rPr>
      </w:pPr>
      <w:r>
        <w:rPr>
          <w:sz w:val="24"/>
        </w:rPr>
        <w:t>1.10.1</w:t>
      </w:r>
      <w:r>
        <w:rPr>
          <w:rFonts w:hint="eastAsia"/>
          <w:sz w:val="24"/>
        </w:rPr>
        <w:t xml:space="preserve"> </w:t>
      </w:r>
      <w:r>
        <w:rPr>
          <w:sz w:val="24"/>
        </w:rPr>
        <w:t>第一章</w:t>
      </w:r>
      <w:r>
        <w:rPr>
          <w:rFonts w:hint="eastAsia" w:ascii="宋体" w:hAnsi="宋体" w:cs="宋体"/>
          <w:sz w:val="24"/>
        </w:rPr>
        <w:t>“招标公告”</w:t>
      </w:r>
      <w:r>
        <w:rPr>
          <w:sz w:val="24"/>
        </w:rPr>
        <w:t>规定召开投标预备会的，招标人</w:t>
      </w:r>
      <w:r>
        <w:rPr>
          <w:rFonts w:hint="eastAsia"/>
          <w:sz w:val="24"/>
        </w:rPr>
        <w:t>按照</w:t>
      </w:r>
      <w:r>
        <w:rPr>
          <w:sz w:val="24"/>
        </w:rPr>
        <w:t>规定的时间和地点召开投标预备会，澄清投标人提出的问题。</w:t>
      </w:r>
    </w:p>
    <w:p>
      <w:pPr>
        <w:spacing w:line="360" w:lineRule="auto"/>
        <w:ind w:firstLine="480"/>
        <w:rPr>
          <w:sz w:val="24"/>
        </w:rPr>
      </w:pPr>
      <w:r>
        <w:rPr>
          <w:sz w:val="24"/>
        </w:rPr>
        <w:t>1.10.2 投标人应在投标人须知前附表规定的时间和形式将提出的问题送达招标人，以便招标人在会议期间澄清。</w:t>
      </w:r>
    </w:p>
    <w:p>
      <w:pPr>
        <w:spacing w:line="360" w:lineRule="auto"/>
        <w:ind w:firstLine="480"/>
        <w:rPr>
          <w:sz w:val="24"/>
        </w:rPr>
      </w:pPr>
      <w:r>
        <w:rPr>
          <w:sz w:val="24"/>
        </w:rPr>
        <w:t>1.10.3 投标预备会后，招标人将对投标人所提问题的澄清，以本章第2.2款规定的时间和形式通知所有获取招标文件的投标人。该澄清内容为招标文件的组成部分。</w:t>
      </w:r>
    </w:p>
    <w:p>
      <w:pPr>
        <w:keepNext/>
        <w:keepLines/>
        <w:spacing w:beforeLines="100" w:afterLines="100"/>
        <w:ind w:firstLine="0" w:firstLineChars="0"/>
        <w:outlineLvl w:val="2"/>
        <w:rPr>
          <w:rFonts w:eastAsia="黑体"/>
          <w:bCs/>
          <w:sz w:val="24"/>
          <w:szCs w:val="32"/>
        </w:rPr>
      </w:pPr>
      <w:bookmarkStart w:id="164" w:name="_Toc2813"/>
      <w:bookmarkStart w:id="165" w:name="_Toc116662722"/>
      <w:bookmarkStart w:id="166" w:name="_Toc116663092"/>
      <w:bookmarkStart w:id="167" w:name="_Toc138689358"/>
      <w:r>
        <w:rPr>
          <w:rFonts w:eastAsia="黑体"/>
          <w:bCs/>
          <w:sz w:val="24"/>
          <w:szCs w:val="32"/>
        </w:rPr>
        <w:t>1.11 分包</w:t>
      </w:r>
      <w:bookmarkEnd w:id="164"/>
      <w:bookmarkEnd w:id="165"/>
      <w:bookmarkEnd w:id="166"/>
      <w:bookmarkEnd w:id="167"/>
    </w:p>
    <w:p>
      <w:pPr>
        <w:spacing w:line="360" w:lineRule="auto"/>
        <w:ind w:firstLine="480"/>
        <w:rPr>
          <w:sz w:val="24"/>
        </w:rPr>
      </w:pPr>
      <w:r>
        <w:rPr>
          <w:sz w:val="24"/>
        </w:rPr>
        <w:t>1.11.1 投标人拟在中标后将中标项目的部分非主体、非关键性工作进行分包的，应符合以下规定：</w:t>
      </w:r>
    </w:p>
    <w:p>
      <w:pPr>
        <w:spacing w:line="360" w:lineRule="auto"/>
        <w:ind w:firstLine="480"/>
        <w:rPr>
          <w:sz w:val="24"/>
        </w:rPr>
      </w:pPr>
      <w:r>
        <w:rPr>
          <w:sz w:val="24"/>
        </w:rPr>
        <w:t>（1）分包内容要求：允许分包的工程范围仅限于非关键性工程或者适合专业化队伍施工的专业工程。招标人允许分包或不允许分包的专项工程应在投标人须知前附表中载明。</w:t>
      </w:r>
    </w:p>
    <w:p>
      <w:pPr>
        <w:spacing w:line="360" w:lineRule="auto"/>
        <w:ind w:firstLine="480"/>
        <w:rPr>
          <w:sz w:val="24"/>
        </w:rPr>
      </w:pPr>
      <w:r>
        <w:rPr>
          <w:sz w:val="24"/>
        </w:rPr>
        <w:t>（2）接受分包的第三人资格要求：分包人的资格能力应与其分包工程的标准和规模相适应，且具备投标人须知前附表中规定的资格条件。</w:t>
      </w:r>
    </w:p>
    <w:p>
      <w:pPr>
        <w:spacing w:line="360" w:lineRule="auto"/>
        <w:ind w:firstLine="480"/>
        <w:rPr>
          <w:sz w:val="24"/>
        </w:rPr>
      </w:pPr>
      <w:r>
        <w:rPr>
          <w:sz w:val="24"/>
        </w:rPr>
        <w:t>（3）其他要求：投标人如有分包计划，应</w:t>
      </w:r>
      <w:r>
        <w:rPr>
          <w:rFonts w:hint="eastAsia"/>
          <w:sz w:val="24"/>
        </w:rPr>
        <w:t>按照</w:t>
      </w:r>
      <w:r>
        <w:rPr>
          <w:sz w:val="24"/>
        </w:rPr>
        <w:t>第九章</w:t>
      </w:r>
      <w:r>
        <w:rPr>
          <w:rFonts w:hint="eastAsia" w:ascii="宋体" w:hAnsi="宋体" w:cs="宋体"/>
          <w:sz w:val="24"/>
        </w:rPr>
        <w:t>“投标文件格式”</w:t>
      </w:r>
      <w:r>
        <w:rPr>
          <w:sz w:val="24"/>
        </w:rPr>
        <w:t>的要求填写</w:t>
      </w:r>
      <w:r>
        <w:rPr>
          <w:rFonts w:hint="eastAsia" w:ascii="宋体" w:hAnsi="宋体" w:cs="宋体"/>
          <w:sz w:val="24"/>
        </w:rPr>
        <w:t>“拟分包项目情况表”</w:t>
      </w:r>
      <w:r>
        <w:rPr>
          <w:sz w:val="24"/>
        </w:rPr>
        <w:t>，明确拟分包的工程及规模，且投标人中标后的分包应满足合同条款第4.3款的相关要求。</w:t>
      </w:r>
    </w:p>
    <w:p>
      <w:pPr>
        <w:spacing w:line="360" w:lineRule="auto"/>
        <w:ind w:firstLine="480"/>
        <w:rPr>
          <w:sz w:val="24"/>
        </w:rPr>
      </w:pPr>
      <w:r>
        <w:rPr>
          <w:sz w:val="24"/>
        </w:rPr>
        <w:t>1.11.2 中标人不得向他人转让中标项目，接受分包的人不得再次分包。中标人应就分包项目向招标人负责，接受分包的人就分包项目承担连带责任。</w:t>
      </w:r>
    </w:p>
    <w:bookmarkEnd w:id="161"/>
    <w:bookmarkEnd w:id="162"/>
    <w:bookmarkEnd w:id="163"/>
    <w:p>
      <w:pPr>
        <w:keepNext/>
        <w:keepLines/>
        <w:spacing w:beforeLines="100" w:afterLines="100"/>
        <w:ind w:firstLine="0" w:firstLineChars="0"/>
        <w:outlineLvl w:val="2"/>
        <w:rPr>
          <w:rFonts w:eastAsia="黑体"/>
          <w:bCs/>
          <w:sz w:val="24"/>
          <w:szCs w:val="32"/>
        </w:rPr>
      </w:pPr>
      <w:bookmarkStart w:id="168" w:name="_Toc14201219"/>
      <w:bookmarkStart w:id="169" w:name="_Toc26656950"/>
      <w:bookmarkStart w:id="170" w:name="_Toc3920"/>
      <w:bookmarkStart w:id="171" w:name="_Toc116662723"/>
      <w:bookmarkStart w:id="172" w:name="_Toc2295"/>
      <w:bookmarkStart w:id="173" w:name="_Toc116663093"/>
      <w:bookmarkStart w:id="174" w:name="_Toc138689359"/>
      <w:r>
        <w:rPr>
          <w:rFonts w:eastAsia="黑体"/>
          <w:bCs/>
          <w:sz w:val="24"/>
          <w:szCs w:val="32"/>
        </w:rPr>
        <w:t xml:space="preserve">1.12 </w:t>
      </w:r>
      <w:r>
        <w:rPr>
          <w:rFonts w:hint="eastAsia" w:eastAsia="黑体"/>
          <w:bCs/>
          <w:sz w:val="24"/>
          <w:szCs w:val="32"/>
        </w:rPr>
        <w:t>响应和</w:t>
      </w:r>
      <w:r>
        <w:rPr>
          <w:rFonts w:eastAsia="黑体"/>
          <w:bCs/>
          <w:sz w:val="24"/>
          <w:szCs w:val="32"/>
        </w:rPr>
        <w:t>偏</w:t>
      </w:r>
      <w:bookmarkEnd w:id="168"/>
      <w:bookmarkEnd w:id="169"/>
      <w:bookmarkEnd w:id="170"/>
      <w:bookmarkEnd w:id="171"/>
      <w:bookmarkEnd w:id="172"/>
      <w:bookmarkEnd w:id="173"/>
      <w:r>
        <w:rPr>
          <w:rFonts w:hint="eastAsia" w:eastAsia="黑体"/>
          <w:bCs/>
          <w:sz w:val="24"/>
          <w:szCs w:val="32"/>
        </w:rPr>
        <w:t>差</w:t>
      </w:r>
      <w:bookmarkEnd w:id="174"/>
    </w:p>
    <w:p>
      <w:pPr>
        <w:spacing w:line="360" w:lineRule="auto"/>
        <w:ind w:firstLine="480"/>
        <w:rPr>
          <w:sz w:val="24"/>
        </w:rPr>
      </w:pPr>
      <w:r>
        <w:rPr>
          <w:sz w:val="24"/>
        </w:rPr>
        <w:t>1.12.1投标文件偏离招标文件某些要求，视为投标文件存在偏差。偏差包括重大偏差和细微偏差。</w:t>
      </w:r>
    </w:p>
    <w:p>
      <w:pPr>
        <w:spacing w:line="360" w:lineRule="auto"/>
        <w:ind w:firstLine="480"/>
        <w:rPr>
          <w:sz w:val="24"/>
        </w:rPr>
      </w:pPr>
      <w:r>
        <w:rPr>
          <w:sz w:val="24"/>
        </w:rPr>
        <w:t>1.12.2 投标文件应对招标文件的实质性要求和条件作出满足性或更有利于招标人的响应，否则，视为投标文件存在重大偏差，投标人的投标将被否决。</w:t>
      </w:r>
    </w:p>
    <w:p>
      <w:pPr>
        <w:spacing w:line="360" w:lineRule="auto"/>
        <w:ind w:firstLine="480"/>
        <w:rPr>
          <w:sz w:val="24"/>
        </w:rPr>
      </w:pPr>
      <w:r>
        <w:rPr>
          <w:sz w:val="24"/>
        </w:rPr>
        <w:t>投标文件存在第三章</w:t>
      </w:r>
      <w:r>
        <w:rPr>
          <w:rFonts w:hint="eastAsia" w:ascii="宋体" w:hAnsi="宋体" w:cs="宋体"/>
          <w:sz w:val="24"/>
        </w:rPr>
        <w:t>“评标办法”</w:t>
      </w:r>
      <w:r>
        <w:rPr>
          <w:sz w:val="24"/>
        </w:rPr>
        <w:t>中所列任一否决投标情形的，均属于存在重大偏差。</w:t>
      </w:r>
    </w:p>
    <w:p>
      <w:pPr>
        <w:spacing w:line="360" w:lineRule="auto"/>
        <w:ind w:firstLine="480"/>
        <w:rPr>
          <w:sz w:val="24"/>
        </w:rPr>
      </w:pPr>
      <w:r>
        <w:rPr>
          <w:sz w:val="24"/>
        </w:rPr>
        <w:t>1.12.3 投标文件中的下列偏差为细微偏差：</w:t>
      </w:r>
    </w:p>
    <w:p>
      <w:pPr>
        <w:spacing w:line="360" w:lineRule="auto"/>
        <w:ind w:firstLine="480"/>
        <w:rPr>
          <w:sz w:val="24"/>
        </w:rPr>
      </w:pPr>
      <w:r>
        <w:rPr>
          <w:sz w:val="24"/>
        </w:rPr>
        <w:t>（1）在按照第三</w:t>
      </w:r>
      <w:r>
        <w:rPr>
          <w:rFonts w:hint="eastAsia" w:ascii="宋体" w:hAnsi="宋体" w:cs="宋体"/>
          <w:sz w:val="24"/>
        </w:rPr>
        <w:t>章“评标办法”的规定对投标价进行算术性错误修正及其他错误修正后，最终投标报价未超过最高投标限价（如有）的情况下，出现第三章“评标办法”规定的算术性错误和投标报价的其他错</w:t>
      </w:r>
      <w:r>
        <w:rPr>
          <w:sz w:val="24"/>
        </w:rPr>
        <w:t>误；</w:t>
      </w:r>
    </w:p>
    <w:p>
      <w:pPr>
        <w:spacing w:line="360" w:lineRule="auto"/>
        <w:ind w:firstLine="480"/>
        <w:rPr>
          <w:sz w:val="24"/>
        </w:rPr>
      </w:pPr>
      <w:r>
        <w:rPr>
          <w:sz w:val="24"/>
        </w:rPr>
        <w:t>（2）施工组织设计（含关键工程技术方案）和项目管理机构不够完善；</w:t>
      </w:r>
    </w:p>
    <w:p>
      <w:pPr>
        <w:spacing w:line="360" w:lineRule="auto"/>
        <w:ind w:firstLine="480"/>
        <w:rPr>
          <w:sz w:val="24"/>
        </w:rPr>
      </w:pPr>
      <w:r>
        <w:rPr>
          <w:sz w:val="24"/>
        </w:rPr>
        <w:t>（3）投标文件个别文字有遗漏错误等不影响投标文件实质性内容的偏差。</w:t>
      </w:r>
    </w:p>
    <w:p>
      <w:pPr>
        <w:spacing w:line="360" w:lineRule="auto"/>
        <w:ind w:firstLine="480"/>
        <w:rPr>
          <w:sz w:val="24"/>
        </w:rPr>
      </w:pPr>
      <w:r>
        <w:rPr>
          <w:sz w:val="24"/>
        </w:rPr>
        <w:t>1.12.4 评标委员会对投标文件中的细微偏差</w:t>
      </w:r>
      <w:r>
        <w:rPr>
          <w:rFonts w:hint="eastAsia"/>
          <w:sz w:val="24"/>
        </w:rPr>
        <w:t>按照</w:t>
      </w:r>
      <w:r>
        <w:rPr>
          <w:sz w:val="24"/>
        </w:rPr>
        <w:t>如下规定处理：</w:t>
      </w:r>
    </w:p>
    <w:p>
      <w:pPr>
        <w:spacing w:line="360" w:lineRule="auto"/>
        <w:ind w:firstLine="480"/>
        <w:rPr>
          <w:sz w:val="24"/>
        </w:rPr>
      </w:pPr>
      <w:r>
        <w:rPr>
          <w:sz w:val="24"/>
        </w:rPr>
        <w:t>（1）对于本章第1.12.3项（1）目所述的细微偏差，按照第三章</w:t>
      </w:r>
      <w:r>
        <w:rPr>
          <w:rFonts w:hint="eastAsia"/>
          <w:sz w:val="24"/>
        </w:rPr>
        <w:t>“</w:t>
      </w:r>
      <w:r>
        <w:rPr>
          <w:sz w:val="24"/>
        </w:rPr>
        <w:t>评标办法</w:t>
      </w:r>
      <w:r>
        <w:rPr>
          <w:rFonts w:hint="eastAsia"/>
          <w:sz w:val="24"/>
        </w:rPr>
        <w:t>”</w:t>
      </w:r>
      <w:r>
        <w:rPr>
          <w:sz w:val="24"/>
        </w:rPr>
        <w:t>的规定予以修正并要求投标人进行澄清；</w:t>
      </w:r>
    </w:p>
    <w:p>
      <w:pPr>
        <w:spacing w:line="360" w:lineRule="auto"/>
        <w:ind w:firstLine="480"/>
        <w:rPr>
          <w:sz w:val="24"/>
        </w:rPr>
      </w:pPr>
      <w:r>
        <w:rPr>
          <w:sz w:val="24"/>
        </w:rPr>
        <w:t>（2）对于本章第1.12.3项（2）目所述的细微偏差，如果采用合理低价法或经评审的最低投标价法评标，应要求投标人对细微偏差进行澄清，只有投标人的澄清文件被评标委员会接受，投标人才能参加</w:t>
      </w:r>
      <w:r>
        <w:rPr>
          <w:rFonts w:hint="eastAsia"/>
          <w:sz w:val="24"/>
        </w:rPr>
        <w:t>投标报价或</w:t>
      </w:r>
      <w:r>
        <w:rPr>
          <w:sz w:val="24"/>
        </w:rPr>
        <w:t>评标价的最终评比。如果采用技术评分最低标价法或综合评分法评标，可在相关评分因素的评分中酌情扣分。</w:t>
      </w:r>
    </w:p>
    <w:p>
      <w:pPr>
        <w:spacing w:line="360" w:lineRule="auto"/>
        <w:ind w:firstLine="480"/>
        <w:rPr>
          <w:sz w:val="24"/>
        </w:rPr>
      </w:pPr>
      <w:r>
        <w:rPr>
          <w:sz w:val="24"/>
        </w:rPr>
        <w:t>（3）对于本章第1.12.3项（3）目所述的细微偏差，可要求投标人对细微偏差进行澄清。</w:t>
      </w:r>
    </w:p>
    <w:p>
      <w:pPr>
        <w:spacing w:line="360" w:lineRule="auto"/>
        <w:ind w:firstLine="480"/>
        <w:rPr>
          <w:sz w:val="24"/>
        </w:rPr>
      </w:pPr>
      <w:r>
        <w:rPr>
          <w:sz w:val="24"/>
        </w:rPr>
        <w:t>1.12.5 投标人应根据招标文件的要求提供施工组织设计等内容以对招标文件作出响应。</w:t>
      </w:r>
    </w:p>
    <w:p>
      <w:pPr>
        <w:keepNext/>
        <w:keepLines/>
        <w:spacing w:beforeLines="100" w:afterLines="100"/>
        <w:ind w:firstLine="0" w:firstLineChars="0"/>
        <w:jc w:val="left"/>
        <w:outlineLvl w:val="1"/>
        <w:rPr>
          <w:rFonts w:eastAsia="黑体"/>
          <w:bCs/>
          <w:sz w:val="32"/>
          <w:szCs w:val="32"/>
        </w:rPr>
      </w:pPr>
      <w:bookmarkStart w:id="175" w:name="_Toc19145"/>
      <w:bookmarkStart w:id="176" w:name="_Toc9067721"/>
      <w:bookmarkStart w:id="177" w:name="_Toc25271"/>
      <w:bookmarkStart w:id="178" w:name="_Toc15987"/>
      <w:bookmarkStart w:id="179" w:name="_Toc14201220"/>
      <w:bookmarkStart w:id="180" w:name="_Toc7920"/>
      <w:bookmarkStart w:id="181" w:name="_Toc138689360"/>
      <w:r>
        <w:rPr>
          <w:rFonts w:eastAsia="黑体"/>
          <w:bCs/>
          <w:sz w:val="32"/>
          <w:szCs w:val="32"/>
        </w:rPr>
        <w:t>2. 招标文件</w:t>
      </w:r>
      <w:bookmarkEnd w:id="175"/>
      <w:bookmarkEnd w:id="176"/>
      <w:bookmarkEnd w:id="177"/>
      <w:bookmarkEnd w:id="178"/>
      <w:bookmarkEnd w:id="179"/>
      <w:bookmarkEnd w:id="180"/>
      <w:bookmarkEnd w:id="181"/>
    </w:p>
    <w:p>
      <w:pPr>
        <w:keepNext/>
        <w:keepLines/>
        <w:spacing w:beforeLines="100" w:afterLines="100"/>
        <w:ind w:firstLine="0" w:firstLineChars="0"/>
        <w:outlineLvl w:val="2"/>
        <w:rPr>
          <w:rFonts w:eastAsia="黑体"/>
          <w:bCs/>
          <w:sz w:val="24"/>
          <w:szCs w:val="32"/>
        </w:rPr>
      </w:pPr>
      <w:bookmarkStart w:id="182" w:name="_Toc26656952"/>
      <w:bookmarkStart w:id="183" w:name="_Toc11015"/>
      <w:bookmarkStart w:id="184" w:name="_Toc138689361"/>
      <w:bookmarkStart w:id="185" w:name="_Toc116662725"/>
      <w:bookmarkStart w:id="186" w:name="_Toc11811"/>
      <w:bookmarkStart w:id="187" w:name="_Toc14201221"/>
      <w:r>
        <w:rPr>
          <w:rFonts w:eastAsia="黑体"/>
          <w:bCs/>
          <w:sz w:val="24"/>
          <w:szCs w:val="32"/>
        </w:rPr>
        <w:t>2.1 招标文件的组成</w:t>
      </w:r>
      <w:bookmarkEnd w:id="182"/>
      <w:bookmarkEnd w:id="183"/>
      <w:bookmarkEnd w:id="184"/>
      <w:bookmarkEnd w:id="185"/>
      <w:bookmarkEnd w:id="186"/>
      <w:bookmarkEnd w:id="187"/>
    </w:p>
    <w:p>
      <w:pPr>
        <w:spacing w:line="360" w:lineRule="auto"/>
        <w:ind w:firstLine="480"/>
        <w:rPr>
          <w:sz w:val="24"/>
        </w:rPr>
      </w:pPr>
      <w:r>
        <w:rPr>
          <w:sz w:val="24"/>
        </w:rPr>
        <w:t>本招标文件包括：</w:t>
      </w:r>
    </w:p>
    <w:p>
      <w:pPr>
        <w:spacing w:line="360" w:lineRule="auto"/>
        <w:ind w:firstLine="480"/>
        <w:rPr>
          <w:sz w:val="24"/>
        </w:rPr>
      </w:pPr>
      <w:r>
        <w:rPr>
          <w:sz w:val="24"/>
        </w:rPr>
        <w:t>（1）招标公告；</w:t>
      </w:r>
    </w:p>
    <w:p>
      <w:pPr>
        <w:spacing w:line="360" w:lineRule="auto"/>
        <w:ind w:firstLine="480"/>
        <w:rPr>
          <w:sz w:val="24"/>
        </w:rPr>
      </w:pPr>
      <w:r>
        <w:rPr>
          <w:sz w:val="24"/>
        </w:rPr>
        <w:t>（2）投标人须知；</w:t>
      </w:r>
    </w:p>
    <w:p>
      <w:pPr>
        <w:spacing w:line="360" w:lineRule="auto"/>
        <w:ind w:firstLine="480"/>
        <w:rPr>
          <w:sz w:val="24"/>
        </w:rPr>
      </w:pPr>
      <w:r>
        <w:rPr>
          <w:sz w:val="24"/>
        </w:rPr>
        <w:t>（3）评标办法；</w:t>
      </w:r>
    </w:p>
    <w:p>
      <w:pPr>
        <w:spacing w:line="360" w:lineRule="auto"/>
        <w:ind w:firstLine="480"/>
        <w:rPr>
          <w:sz w:val="24"/>
        </w:rPr>
      </w:pPr>
      <w:r>
        <w:rPr>
          <w:sz w:val="24"/>
        </w:rPr>
        <w:t>（4）合同条款及格式；</w:t>
      </w:r>
    </w:p>
    <w:p>
      <w:pPr>
        <w:spacing w:line="360" w:lineRule="auto"/>
        <w:ind w:firstLine="480"/>
        <w:rPr>
          <w:sz w:val="24"/>
        </w:rPr>
      </w:pPr>
      <w:r>
        <w:rPr>
          <w:sz w:val="24"/>
        </w:rPr>
        <w:t>（5）工程量清单；</w:t>
      </w:r>
    </w:p>
    <w:p>
      <w:pPr>
        <w:spacing w:line="360" w:lineRule="auto"/>
        <w:ind w:firstLine="480"/>
        <w:rPr>
          <w:sz w:val="24"/>
        </w:rPr>
      </w:pPr>
      <w:r>
        <w:rPr>
          <w:sz w:val="24"/>
        </w:rPr>
        <w:t>（6）图纸（另册）</w:t>
      </w:r>
      <w:r>
        <w:rPr>
          <w:rFonts w:hint="eastAsia"/>
          <w:sz w:val="24"/>
        </w:rPr>
        <w:t>；</w:t>
      </w:r>
    </w:p>
    <w:p>
      <w:pPr>
        <w:spacing w:line="360" w:lineRule="auto"/>
        <w:ind w:firstLine="480"/>
        <w:rPr>
          <w:sz w:val="24"/>
        </w:rPr>
      </w:pPr>
      <w:r>
        <w:rPr>
          <w:sz w:val="24"/>
        </w:rPr>
        <w:t>（7）技术规范（另册）</w:t>
      </w:r>
      <w:r>
        <w:rPr>
          <w:rFonts w:hint="eastAsia"/>
          <w:sz w:val="24"/>
        </w:rPr>
        <w:t>；</w:t>
      </w:r>
    </w:p>
    <w:p>
      <w:pPr>
        <w:spacing w:line="360" w:lineRule="auto"/>
        <w:ind w:firstLine="480"/>
        <w:rPr>
          <w:sz w:val="24"/>
        </w:rPr>
      </w:pPr>
      <w:r>
        <w:rPr>
          <w:sz w:val="24"/>
        </w:rPr>
        <w:t>（8）工程量清单计量规则（另册）</w:t>
      </w:r>
      <w:r>
        <w:rPr>
          <w:rFonts w:hint="eastAsia"/>
          <w:sz w:val="24"/>
        </w:rPr>
        <w:t>；</w:t>
      </w:r>
    </w:p>
    <w:p>
      <w:pPr>
        <w:spacing w:line="360" w:lineRule="auto"/>
        <w:ind w:firstLine="480"/>
        <w:rPr>
          <w:sz w:val="24"/>
        </w:rPr>
      </w:pPr>
      <w:r>
        <w:rPr>
          <w:sz w:val="24"/>
        </w:rPr>
        <w:t>（9）投标文件格式；</w:t>
      </w:r>
    </w:p>
    <w:p>
      <w:pPr>
        <w:spacing w:line="360" w:lineRule="auto"/>
        <w:ind w:firstLine="480"/>
        <w:rPr>
          <w:sz w:val="24"/>
        </w:rPr>
      </w:pPr>
      <w:r>
        <w:rPr>
          <w:sz w:val="24"/>
        </w:rPr>
        <w:t>（10）投标人须知前附表规定的其他材料。</w:t>
      </w:r>
    </w:p>
    <w:p>
      <w:pPr>
        <w:spacing w:line="360" w:lineRule="auto"/>
        <w:ind w:firstLine="480"/>
        <w:rPr>
          <w:sz w:val="24"/>
        </w:rPr>
      </w:pPr>
      <w:r>
        <w:rPr>
          <w:sz w:val="24"/>
        </w:rPr>
        <w:t>根据本章第1.10款、第2.2款和第2.3款对招标文件所作的澄清、修改，构成招标文件的组成部分。</w:t>
      </w:r>
    </w:p>
    <w:p>
      <w:pPr>
        <w:spacing w:line="360" w:lineRule="auto"/>
        <w:ind w:firstLine="480"/>
        <w:rPr>
          <w:sz w:val="24"/>
        </w:rPr>
      </w:pPr>
      <w:r>
        <w:rPr>
          <w:sz w:val="24"/>
        </w:rPr>
        <w:t>当招标文件、招标文件的澄清或修改等在同一内容的表述上不一致时，以最后发出的文件为准。</w:t>
      </w:r>
    </w:p>
    <w:p>
      <w:pPr>
        <w:keepNext/>
        <w:keepLines/>
        <w:spacing w:beforeLines="100" w:afterLines="100"/>
        <w:ind w:firstLine="0" w:firstLineChars="0"/>
        <w:outlineLvl w:val="2"/>
        <w:rPr>
          <w:rFonts w:eastAsia="黑体"/>
          <w:bCs/>
          <w:sz w:val="24"/>
          <w:szCs w:val="32"/>
        </w:rPr>
      </w:pPr>
      <w:bookmarkStart w:id="188" w:name="_Toc14201222"/>
      <w:bookmarkStart w:id="189" w:name="_Toc116662726"/>
      <w:bookmarkStart w:id="190" w:name="_Toc26656953"/>
      <w:bookmarkStart w:id="191" w:name="_Toc28083"/>
      <w:bookmarkStart w:id="192" w:name="_Toc138689362"/>
      <w:bookmarkStart w:id="193" w:name="_Toc4988"/>
      <w:r>
        <w:rPr>
          <w:rFonts w:eastAsia="黑体"/>
          <w:bCs/>
          <w:sz w:val="24"/>
          <w:szCs w:val="32"/>
        </w:rPr>
        <w:t>2.2 招标文件的澄清</w:t>
      </w:r>
      <w:bookmarkEnd w:id="188"/>
      <w:bookmarkEnd w:id="189"/>
      <w:bookmarkEnd w:id="190"/>
      <w:bookmarkEnd w:id="191"/>
      <w:bookmarkEnd w:id="192"/>
      <w:bookmarkEnd w:id="193"/>
    </w:p>
    <w:p>
      <w:pPr>
        <w:spacing w:line="360" w:lineRule="auto"/>
        <w:ind w:firstLine="480"/>
        <w:rPr>
          <w:sz w:val="24"/>
        </w:rPr>
      </w:pPr>
      <w:r>
        <w:rPr>
          <w:sz w:val="24"/>
        </w:rPr>
        <w:t>2.2.1投标人应仔细阅读和检查招标文件的全部内容。如有疑问，应</w:t>
      </w:r>
      <w:r>
        <w:rPr>
          <w:rFonts w:hint="eastAsia"/>
          <w:sz w:val="24"/>
        </w:rPr>
        <w:t>按照</w:t>
      </w:r>
      <w:r>
        <w:rPr>
          <w:sz w:val="24"/>
        </w:rPr>
        <w:t>投标人须知前附表规定的时间和形式向招标人发出对招标文件进行澄清的要求。</w:t>
      </w:r>
    </w:p>
    <w:p>
      <w:pPr>
        <w:spacing w:line="360" w:lineRule="auto"/>
        <w:ind w:firstLine="480"/>
        <w:rPr>
          <w:bCs/>
          <w:snapToGrid w:val="0"/>
          <w:sz w:val="24"/>
        </w:rPr>
      </w:pPr>
      <w:r>
        <w:rPr>
          <w:sz w:val="24"/>
        </w:rPr>
        <w:t xml:space="preserve">2.2.2 </w:t>
      </w:r>
      <w:r>
        <w:rPr>
          <w:bCs/>
          <w:snapToGrid w:val="0"/>
          <w:sz w:val="24"/>
        </w:rPr>
        <w:t>招标文件的澄清以投标人须知前附表规定的形式发给所有获取招标文件的投标人，澄清文件一经发出则视为送达所有获取招标文件的投标人。因投标人未及时查阅上述澄清文件而导致的后果由投标人自行承担。</w:t>
      </w:r>
    </w:p>
    <w:p>
      <w:pPr>
        <w:spacing w:line="360" w:lineRule="auto"/>
        <w:ind w:firstLine="480"/>
        <w:rPr>
          <w:sz w:val="24"/>
        </w:rPr>
      </w:pPr>
      <w:r>
        <w:rPr>
          <w:sz w:val="24"/>
        </w:rPr>
        <w:t>2.2.3</w:t>
      </w:r>
      <w:r>
        <w:rPr>
          <w:bCs/>
          <w:snapToGrid w:val="0"/>
          <w:sz w:val="24"/>
        </w:rPr>
        <w:t>澄清文件发出的时间距投标截止时间不足15日的，并且澄清内容可能影响投标文件编制的，招标人将相应顺延投标截止时间。</w:t>
      </w:r>
    </w:p>
    <w:p>
      <w:pPr>
        <w:spacing w:line="360" w:lineRule="auto"/>
        <w:ind w:firstLine="480"/>
        <w:rPr>
          <w:sz w:val="24"/>
        </w:rPr>
      </w:pPr>
      <w:r>
        <w:rPr>
          <w:sz w:val="24"/>
        </w:rPr>
        <w:t>2.2.4 除非招标人认为确有必要答复，否则，招标人有权拒绝回复投标人在本章第2.2.1项规定的时间后提出的任何澄清要求。</w:t>
      </w:r>
    </w:p>
    <w:p>
      <w:pPr>
        <w:keepNext/>
        <w:keepLines/>
        <w:spacing w:beforeLines="100" w:afterLines="100"/>
        <w:ind w:firstLine="0" w:firstLineChars="0"/>
        <w:outlineLvl w:val="2"/>
        <w:rPr>
          <w:rFonts w:eastAsia="黑体"/>
          <w:bCs/>
          <w:sz w:val="24"/>
          <w:szCs w:val="32"/>
        </w:rPr>
      </w:pPr>
      <w:bookmarkStart w:id="194" w:name="_Toc116662727"/>
      <w:bookmarkStart w:id="195" w:name="_Toc26656954"/>
      <w:bookmarkStart w:id="196" w:name="_Toc15881"/>
      <w:bookmarkStart w:id="197" w:name="_Toc14201223"/>
      <w:bookmarkStart w:id="198" w:name="_Toc138689363"/>
      <w:bookmarkStart w:id="199" w:name="_Toc803"/>
      <w:r>
        <w:rPr>
          <w:rFonts w:eastAsia="黑体"/>
          <w:bCs/>
          <w:sz w:val="24"/>
          <w:szCs w:val="32"/>
        </w:rPr>
        <w:t>2.3 招标文件的修改</w:t>
      </w:r>
      <w:bookmarkEnd w:id="194"/>
      <w:bookmarkEnd w:id="195"/>
      <w:bookmarkEnd w:id="196"/>
      <w:bookmarkEnd w:id="197"/>
      <w:bookmarkEnd w:id="198"/>
      <w:bookmarkEnd w:id="199"/>
    </w:p>
    <w:p>
      <w:pPr>
        <w:spacing w:line="360" w:lineRule="auto"/>
        <w:ind w:firstLine="480"/>
        <w:rPr>
          <w:sz w:val="24"/>
        </w:rPr>
      </w:pPr>
      <w:bookmarkStart w:id="200" w:name="_Toc14201224"/>
      <w:bookmarkStart w:id="201" w:name="_Toc26656955"/>
      <w:r>
        <w:rPr>
          <w:sz w:val="24"/>
        </w:rPr>
        <w:t>2.3.1 招标人对招标文件进行修改的，以投标人须知前附表规定的形式向所有获取招标文件的投标人发出修改文件，修改文件一经发出则视为送达所有获取招标文件的投标人。因投标人未及时查阅上述修改文件而导致的后果由投标人自行承担。</w:t>
      </w:r>
    </w:p>
    <w:p>
      <w:pPr>
        <w:spacing w:line="360" w:lineRule="auto"/>
        <w:ind w:firstLine="480"/>
        <w:rPr>
          <w:sz w:val="24"/>
        </w:rPr>
      </w:pPr>
      <w:r>
        <w:rPr>
          <w:sz w:val="24"/>
        </w:rPr>
        <w:t>2.3.2 修改文件发出的时间距投标截止时间不足15日的，并且修改内容可能影响投标文件编制的，招标人将相应顺延投标截止时间。</w:t>
      </w:r>
    </w:p>
    <w:p>
      <w:pPr>
        <w:keepNext/>
        <w:keepLines/>
        <w:spacing w:beforeLines="100" w:afterLines="100"/>
        <w:ind w:firstLine="0" w:firstLineChars="0"/>
        <w:outlineLvl w:val="2"/>
        <w:rPr>
          <w:rFonts w:eastAsia="黑体"/>
          <w:bCs/>
          <w:sz w:val="24"/>
          <w:szCs w:val="32"/>
        </w:rPr>
      </w:pPr>
      <w:bookmarkStart w:id="202" w:name="_Toc138689364"/>
      <w:bookmarkStart w:id="203" w:name="_Toc24138"/>
      <w:bookmarkStart w:id="204" w:name="_Toc116662728"/>
      <w:bookmarkStart w:id="205" w:name="_Toc23652"/>
      <w:r>
        <w:rPr>
          <w:rFonts w:eastAsia="黑体"/>
          <w:bCs/>
          <w:sz w:val="24"/>
          <w:szCs w:val="32"/>
        </w:rPr>
        <w:t>2.4 招标文件的异议</w:t>
      </w:r>
      <w:bookmarkEnd w:id="200"/>
      <w:bookmarkEnd w:id="201"/>
      <w:bookmarkEnd w:id="202"/>
      <w:bookmarkEnd w:id="203"/>
      <w:bookmarkEnd w:id="204"/>
      <w:bookmarkEnd w:id="205"/>
    </w:p>
    <w:p>
      <w:pPr>
        <w:spacing w:line="360" w:lineRule="auto"/>
        <w:ind w:firstLine="480"/>
        <w:rPr>
          <w:bCs/>
          <w:snapToGrid w:val="0"/>
          <w:kern w:val="0"/>
          <w:sz w:val="24"/>
        </w:rPr>
      </w:pPr>
      <w:r>
        <w:rPr>
          <w:bCs/>
          <w:snapToGrid w:val="0"/>
          <w:kern w:val="0"/>
          <w:sz w:val="24"/>
        </w:rPr>
        <w:t>投标人或者其他利害关系人对招标文件有异议的，应在投标截止时间10日前通过电子交易系统在线</w:t>
      </w:r>
      <w:r>
        <w:rPr>
          <w:rFonts w:hint="eastAsia"/>
          <w:bCs/>
          <w:snapToGrid w:val="0"/>
          <w:kern w:val="0"/>
          <w:sz w:val="24"/>
        </w:rPr>
        <w:t>提出</w:t>
      </w:r>
      <w:r>
        <w:rPr>
          <w:bCs/>
          <w:snapToGrid w:val="0"/>
          <w:kern w:val="0"/>
          <w:sz w:val="24"/>
        </w:rPr>
        <w:t>或以其他书面形式提出。招标人将在收到异议之日起3日内作出答复；作出答复前，将暂停招标投标活动。</w:t>
      </w:r>
    </w:p>
    <w:p>
      <w:pPr>
        <w:keepNext/>
        <w:keepLines/>
        <w:spacing w:beforeLines="100" w:afterLines="100"/>
        <w:ind w:firstLine="0" w:firstLineChars="0"/>
        <w:jc w:val="left"/>
        <w:outlineLvl w:val="1"/>
        <w:rPr>
          <w:rFonts w:eastAsia="黑体"/>
          <w:bCs/>
          <w:sz w:val="32"/>
          <w:szCs w:val="32"/>
        </w:rPr>
      </w:pPr>
      <w:bookmarkStart w:id="206" w:name="_Toc14201225"/>
      <w:bookmarkStart w:id="207" w:name="_Toc138689365"/>
      <w:bookmarkStart w:id="208" w:name="_Toc24887"/>
      <w:bookmarkStart w:id="209" w:name="_Toc32426"/>
      <w:bookmarkStart w:id="210" w:name="_Toc2539"/>
      <w:bookmarkStart w:id="211" w:name="_Toc29419"/>
      <w:bookmarkStart w:id="212" w:name="_Toc9067722"/>
      <w:r>
        <w:rPr>
          <w:rFonts w:eastAsia="黑体"/>
          <w:bCs/>
          <w:sz w:val="32"/>
          <w:szCs w:val="32"/>
        </w:rPr>
        <w:t>3. 投标文件</w:t>
      </w:r>
      <w:bookmarkEnd w:id="206"/>
      <w:bookmarkEnd w:id="207"/>
      <w:bookmarkEnd w:id="208"/>
      <w:bookmarkEnd w:id="209"/>
      <w:bookmarkEnd w:id="210"/>
      <w:bookmarkEnd w:id="211"/>
      <w:bookmarkEnd w:id="212"/>
    </w:p>
    <w:p>
      <w:pPr>
        <w:keepNext/>
        <w:keepLines/>
        <w:spacing w:beforeLines="100" w:afterLines="100"/>
        <w:ind w:firstLine="0" w:firstLineChars="0"/>
        <w:outlineLvl w:val="2"/>
        <w:rPr>
          <w:rFonts w:eastAsia="黑体"/>
          <w:bCs/>
          <w:sz w:val="24"/>
          <w:szCs w:val="32"/>
        </w:rPr>
      </w:pPr>
      <w:bookmarkStart w:id="213" w:name="_Toc138689366"/>
      <w:bookmarkStart w:id="214" w:name="_Toc26656957"/>
      <w:bookmarkStart w:id="215" w:name="_Toc5498"/>
      <w:bookmarkStart w:id="216" w:name="_Toc116662730"/>
      <w:bookmarkStart w:id="217" w:name="_Toc899"/>
      <w:bookmarkStart w:id="218" w:name="_Toc14201226"/>
      <w:r>
        <w:rPr>
          <w:rFonts w:eastAsia="黑体"/>
          <w:bCs/>
          <w:sz w:val="24"/>
          <w:szCs w:val="32"/>
        </w:rPr>
        <w:t>3.1投标文件的组成</w:t>
      </w:r>
      <w:bookmarkEnd w:id="213"/>
      <w:bookmarkEnd w:id="214"/>
      <w:bookmarkEnd w:id="215"/>
      <w:bookmarkEnd w:id="216"/>
      <w:bookmarkEnd w:id="217"/>
      <w:bookmarkEnd w:id="218"/>
    </w:p>
    <w:p>
      <w:pPr>
        <w:spacing w:line="360" w:lineRule="auto"/>
        <w:ind w:firstLine="480"/>
        <w:rPr>
          <w:sz w:val="24"/>
        </w:rPr>
      </w:pPr>
      <w:r>
        <w:rPr>
          <w:sz w:val="24"/>
        </w:rPr>
        <w:t>3.1.1投标文件应包括下列内容：</w:t>
      </w:r>
    </w:p>
    <w:p>
      <w:pPr>
        <w:spacing w:line="360" w:lineRule="auto"/>
        <w:ind w:firstLine="480"/>
        <w:rPr>
          <w:sz w:val="24"/>
        </w:rPr>
      </w:pPr>
      <w:r>
        <w:rPr>
          <w:sz w:val="24"/>
        </w:rPr>
        <w:t>（1）商务文件；</w:t>
      </w:r>
    </w:p>
    <w:p>
      <w:pPr>
        <w:spacing w:line="360" w:lineRule="auto"/>
        <w:ind w:firstLine="480"/>
        <w:rPr>
          <w:sz w:val="24"/>
        </w:rPr>
      </w:pPr>
      <w:r>
        <w:rPr>
          <w:sz w:val="24"/>
        </w:rPr>
        <w:t>（2）技术文件；</w:t>
      </w:r>
    </w:p>
    <w:p>
      <w:pPr>
        <w:spacing w:line="360" w:lineRule="auto"/>
        <w:ind w:firstLine="480"/>
        <w:rPr>
          <w:sz w:val="24"/>
        </w:rPr>
      </w:pPr>
      <w:r>
        <w:rPr>
          <w:sz w:val="24"/>
        </w:rPr>
        <w:t>（3）报价文件。</w:t>
      </w:r>
    </w:p>
    <w:p>
      <w:pPr>
        <w:spacing w:line="360" w:lineRule="auto"/>
        <w:ind w:firstLine="480"/>
        <w:rPr>
          <w:sz w:val="24"/>
        </w:rPr>
      </w:pPr>
      <w:r>
        <w:rPr>
          <w:sz w:val="24"/>
        </w:rPr>
        <w:t>3.1.2 投标人在评标过程中作出的符合法律法规和招标文件规定的澄清、说明和确认，构成投标文件的组成部分。</w:t>
      </w:r>
    </w:p>
    <w:p>
      <w:pPr>
        <w:keepNext/>
        <w:keepLines/>
        <w:spacing w:beforeLines="100" w:afterLines="100"/>
        <w:ind w:firstLine="0" w:firstLineChars="0"/>
        <w:outlineLvl w:val="2"/>
        <w:rPr>
          <w:rFonts w:eastAsia="黑体"/>
          <w:bCs/>
          <w:sz w:val="24"/>
          <w:szCs w:val="32"/>
        </w:rPr>
      </w:pPr>
      <w:bookmarkStart w:id="219" w:name="_Toc31844"/>
      <w:bookmarkStart w:id="220" w:name="_Toc26656958"/>
      <w:bookmarkStart w:id="221" w:name="_Toc14201227"/>
      <w:bookmarkStart w:id="222" w:name="_Toc138689367"/>
      <w:bookmarkStart w:id="223" w:name="_Toc116662731"/>
      <w:bookmarkStart w:id="224" w:name="_Toc21608"/>
      <w:r>
        <w:rPr>
          <w:rFonts w:eastAsia="黑体"/>
          <w:bCs/>
          <w:sz w:val="24"/>
          <w:szCs w:val="32"/>
        </w:rPr>
        <w:t>3.2 投标报价</w:t>
      </w:r>
      <w:bookmarkEnd w:id="219"/>
      <w:bookmarkEnd w:id="220"/>
      <w:bookmarkEnd w:id="221"/>
      <w:bookmarkEnd w:id="222"/>
      <w:bookmarkEnd w:id="223"/>
      <w:bookmarkEnd w:id="224"/>
      <w:r>
        <w:rPr>
          <w:rFonts w:eastAsia="黑体"/>
          <w:bCs/>
          <w:sz w:val="24"/>
          <w:szCs w:val="32"/>
        </w:rPr>
        <w:t xml:space="preserve"> </w:t>
      </w:r>
    </w:p>
    <w:p>
      <w:pPr>
        <w:spacing w:line="360" w:lineRule="auto"/>
        <w:ind w:left="210" w:leftChars="100" w:firstLine="240" w:firstLineChars="100"/>
        <w:rPr>
          <w:sz w:val="24"/>
        </w:rPr>
      </w:pPr>
      <w:r>
        <w:rPr>
          <w:sz w:val="24"/>
        </w:rPr>
        <w:t>3.2.1 投标报价应包括国家规定的增值税税金，除投标人须知前附表另有规</w:t>
      </w:r>
    </w:p>
    <w:p>
      <w:pPr>
        <w:spacing w:line="360" w:lineRule="auto"/>
        <w:ind w:firstLine="0" w:firstLineChars="0"/>
        <w:rPr>
          <w:sz w:val="24"/>
        </w:rPr>
      </w:pPr>
      <w:r>
        <w:rPr>
          <w:sz w:val="24"/>
        </w:rPr>
        <w:t>定外，</w:t>
      </w:r>
      <w:bookmarkStart w:id="225" w:name="_Hlk22744070"/>
      <w:r>
        <w:rPr>
          <w:sz w:val="24"/>
        </w:rPr>
        <w:t>发票类型要求为增值税专用发票</w:t>
      </w:r>
      <w:bookmarkEnd w:id="225"/>
      <w:r>
        <w:rPr>
          <w:sz w:val="24"/>
        </w:rPr>
        <w:t>。投标人应</w:t>
      </w:r>
      <w:r>
        <w:rPr>
          <w:rFonts w:hint="eastAsia"/>
          <w:sz w:val="24"/>
        </w:rPr>
        <w:t>按照</w:t>
      </w:r>
      <w:r>
        <w:rPr>
          <w:sz w:val="24"/>
        </w:rPr>
        <w:t>第九章</w:t>
      </w:r>
      <w:r>
        <w:rPr>
          <w:rFonts w:hint="eastAsia" w:ascii="宋体" w:hAnsi="宋体" w:cs="宋体"/>
          <w:sz w:val="24"/>
        </w:rPr>
        <w:t>“投标文件格式”</w:t>
      </w:r>
      <w:r>
        <w:rPr>
          <w:sz w:val="24"/>
        </w:rPr>
        <w:t>的要求在</w:t>
      </w:r>
      <w:r>
        <w:rPr>
          <w:rFonts w:hint="eastAsia"/>
          <w:sz w:val="24"/>
        </w:rPr>
        <w:t>报价文件</w:t>
      </w:r>
      <w:r>
        <w:rPr>
          <w:sz w:val="24"/>
        </w:rPr>
        <w:t>投标函中进行报价并填写工程量清单相应表格。</w:t>
      </w:r>
    </w:p>
    <w:p>
      <w:pPr>
        <w:spacing w:line="360" w:lineRule="auto"/>
        <w:ind w:firstLine="480"/>
        <w:rPr>
          <w:sz w:val="24"/>
        </w:rPr>
      </w:pPr>
      <w:r>
        <w:rPr>
          <w:sz w:val="24"/>
        </w:rPr>
        <w:t>工程量清单的填写分下列两种方式。投标人应</w:t>
      </w:r>
      <w:r>
        <w:rPr>
          <w:rFonts w:hint="eastAsia"/>
          <w:sz w:val="24"/>
        </w:rPr>
        <w:t>按照</w:t>
      </w:r>
      <w:r>
        <w:rPr>
          <w:sz w:val="24"/>
        </w:rPr>
        <w:t>投标人须知前附表规定的方式填写工程量清单。</w:t>
      </w:r>
    </w:p>
    <w:p>
      <w:pPr>
        <w:spacing w:line="360" w:lineRule="auto"/>
        <w:ind w:firstLine="480"/>
        <w:rPr>
          <w:sz w:val="24"/>
        </w:rPr>
      </w:pPr>
      <w:r>
        <w:rPr>
          <w:sz w:val="24"/>
        </w:rPr>
        <w:t>（1）</w:t>
      </w:r>
      <w:r>
        <w:rPr>
          <w:rFonts w:hint="eastAsia"/>
          <w:sz w:val="24"/>
        </w:rPr>
        <w:t>本招标项目</w:t>
      </w:r>
      <w:r>
        <w:rPr>
          <w:sz w:val="24"/>
        </w:rPr>
        <w:t>招标采用工程量固化清单，招标人将工程量固化清单电子文件上传至投标人须知前附表载明的网站供投标人自行下载。投标人填写工程量清单中各子目的单价及总额价，即可完成投标工程量清单的编制，确定投标报价，并将已标价工程量清单编入投标文件报价文件。投标人未在工程量清单中填入单价或总额价的工程子目，将被认为其已</w:t>
      </w:r>
      <w:r>
        <w:rPr>
          <w:rFonts w:hint="eastAsia"/>
          <w:sz w:val="24"/>
        </w:rPr>
        <w:t>包</w:t>
      </w:r>
      <w:r>
        <w:rPr>
          <w:sz w:val="24"/>
        </w:rPr>
        <w:t>含在工程量清单其他子目的单价和总额价中，招标人将不予支付。</w:t>
      </w:r>
    </w:p>
    <w:p>
      <w:pPr>
        <w:spacing w:line="360" w:lineRule="auto"/>
        <w:ind w:firstLine="480"/>
        <w:rPr>
          <w:sz w:val="24"/>
        </w:rPr>
      </w:pPr>
      <w:r>
        <w:rPr>
          <w:sz w:val="24"/>
        </w:rPr>
        <w:t>投标人必须严格遵循工程量固化清单电子文件中的数据、格式及运算定义，严禁投标人修改工程量固化清单电子文件中的数据、格式及运算定义。</w:t>
      </w:r>
    </w:p>
    <w:p>
      <w:pPr>
        <w:spacing w:line="360" w:lineRule="auto"/>
        <w:ind w:firstLine="480"/>
        <w:rPr>
          <w:sz w:val="24"/>
        </w:rPr>
      </w:pPr>
      <w:r>
        <w:rPr>
          <w:sz w:val="24"/>
        </w:rPr>
        <w:t>投标人根据招标人提供的工程量固化清单电子文件填报完成的已标价工程量清单中的投标报价和投标函大写金额报价应一致，如果报价金额出现差异时，其投标将被否决。</w:t>
      </w:r>
    </w:p>
    <w:p>
      <w:pPr>
        <w:spacing w:line="360" w:lineRule="auto"/>
        <w:ind w:firstLine="480"/>
        <w:rPr>
          <w:sz w:val="24"/>
        </w:rPr>
      </w:pPr>
      <w:r>
        <w:rPr>
          <w:sz w:val="24"/>
        </w:rPr>
        <w:t>（2）</w:t>
      </w:r>
      <w:r>
        <w:rPr>
          <w:rFonts w:hint="eastAsia"/>
          <w:sz w:val="24"/>
        </w:rPr>
        <w:t>本招标项目</w:t>
      </w:r>
      <w:r>
        <w:rPr>
          <w:sz w:val="24"/>
        </w:rPr>
        <w:t>招标由招标人提供书面工程量清单，由投标人按照招标人提供的工程量清单填写本合同各工程子目的单价、合价和总额价。评标委员会将按照第三章</w:t>
      </w:r>
      <w:r>
        <w:rPr>
          <w:rFonts w:hint="eastAsia" w:ascii="宋体" w:hAnsi="宋体" w:cs="宋体"/>
          <w:sz w:val="24"/>
        </w:rPr>
        <w:t>“评标办法”</w:t>
      </w:r>
      <w:r>
        <w:rPr>
          <w:sz w:val="24"/>
        </w:rPr>
        <w:t>的规定对投标价进行算术性错误修正及其他错误修正。</w:t>
      </w:r>
    </w:p>
    <w:p>
      <w:pPr>
        <w:spacing w:line="360" w:lineRule="auto"/>
        <w:ind w:firstLine="480"/>
        <w:rPr>
          <w:sz w:val="24"/>
        </w:rPr>
      </w:pPr>
      <w:r>
        <w:rPr>
          <w:sz w:val="24"/>
        </w:rPr>
        <w:t>3.2.2 投标人应充分了解</w:t>
      </w:r>
      <w:r>
        <w:rPr>
          <w:rFonts w:hint="eastAsia"/>
          <w:sz w:val="24"/>
        </w:rPr>
        <w:t>本招标项目</w:t>
      </w:r>
      <w:r>
        <w:rPr>
          <w:sz w:val="24"/>
        </w:rPr>
        <w:t>的总体情况以及影响投标报价的其他要素。</w:t>
      </w:r>
    </w:p>
    <w:p>
      <w:pPr>
        <w:spacing w:line="360" w:lineRule="auto"/>
        <w:ind w:firstLine="480"/>
        <w:rPr>
          <w:sz w:val="24"/>
        </w:rPr>
      </w:pPr>
      <w:r>
        <w:rPr>
          <w:sz w:val="24"/>
        </w:rPr>
        <w:t xml:space="preserve">3.2.3 </w:t>
      </w:r>
      <w:r>
        <w:rPr>
          <w:rFonts w:hint="eastAsia"/>
          <w:sz w:val="24"/>
        </w:rPr>
        <w:t>本招标项目</w:t>
      </w:r>
      <w:r>
        <w:rPr>
          <w:sz w:val="24"/>
        </w:rPr>
        <w:t>的报价方式见投标人须知前附表。投标人在投标截止时间前修改</w:t>
      </w:r>
      <w:r>
        <w:rPr>
          <w:rFonts w:hint="eastAsia"/>
          <w:sz w:val="24"/>
        </w:rPr>
        <w:t>报价文件</w:t>
      </w:r>
      <w:r>
        <w:rPr>
          <w:sz w:val="24"/>
        </w:rPr>
        <w:t>投标函中的投标总报价，应同时修改投标文件</w:t>
      </w:r>
      <w:r>
        <w:rPr>
          <w:rFonts w:hint="eastAsia" w:ascii="宋体" w:hAnsi="宋体" w:cs="宋体"/>
          <w:sz w:val="24"/>
        </w:rPr>
        <w:t>“已标价工程量清单”</w:t>
      </w:r>
      <w:r>
        <w:rPr>
          <w:sz w:val="24"/>
        </w:rPr>
        <w:t>中的相应报价。此修改须符合本章第4.3款的有关要求。</w:t>
      </w:r>
    </w:p>
    <w:p>
      <w:pPr>
        <w:spacing w:line="360" w:lineRule="auto"/>
        <w:ind w:firstLine="480"/>
        <w:rPr>
          <w:sz w:val="24"/>
        </w:rPr>
      </w:pPr>
      <w:r>
        <w:rPr>
          <w:sz w:val="24"/>
        </w:rPr>
        <w:t>3.2.4 投标人如果发现工程量清单中的数量与图纸中数量不一致时，应立即通知招标人核查，除非招标人以书面方式予以更正，否则，应以工程量清单中列出的数量为准。</w:t>
      </w:r>
    </w:p>
    <w:p>
      <w:pPr>
        <w:spacing w:line="360" w:lineRule="auto"/>
        <w:ind w:firstLine="480"/>
        <w:rPr>
          <w:sz w:val="24"/>
        </w:rPr>
      </w:pPr>
      <w:r>
        <w:rPr>
          <w:sz w:val="24"/>
        </w:rPr>
        <w:t>3.2.5投标人应根据《公路水运工程安全生产监督管理办法》，在投标总价中计入安全生产费用，安全生产费用应符合合同条款第9.2.5项的规定。工程量清单100章内列有上述安全生产费的支付子目，由投标人</w:t>
      </w:r>
      <w:r>
        <w:rPr>
          <w:rFonts w:hint="eastAsia"/>
          <w:sz w:val="24"/>
        </w:rPr>
        <w:t>按照</w:t>
      </w:r>
      <w:r>
        <w:rPr>
          <w:sz w:val="24"/>
        </w:rPr>
        <w:t>招标文件的规定填写总额价。</w:t>
      </w:r>
    </w:p>
    <w:p>
      <w:pPr>
        <w:spacing w:line="360" w:lineRule="auto"/>
        <w:ind w:firstLine="480"/>
        <w:rPr>
          <w:sz w:val="24"/>
        </w:rPr>
      </w:pPr>
      <w:r>
        <w:rPr>
          <w:sz w:val="24"/>
        </w:rPr>
        <w:t>3.2.6 除投标人须知前附表另有规定外，招标人不接受调价函。若招标人接受调价函，则应在招标文件中给出调价函的格式。投标人若有调价函则应遵循如下规定：</w:t>
      </w:r>
    </w:p>
    <w:p>
      <w:pPr>
        <w:spacing w:line="360" w:lineRule="auto"/>
        <w:ind w:firstLine="480"/>
        <w:rPr>
          <w:sz w:val="24"/>
        </w:rPr>
      </w:pPr>
      <w:r>
        <w:rPr>
          <w:sz w:val="24"/>
        </w:rPr>
        <w:t>（1）调价函必须采用招标文件规定的格式；调价函应说明调价后的最终报价，并以最终报价为准，而且投标人只能有一次调价的机会；</w:t>
      </w:r>
    </w:p>
    <w:p>
      <w:pPr>
        <w:spacing w:line="360" w:lineRule="auto"/>
        <w:ind w:firstLine="480"/>
        <w:rPr>
          <w:sz w:val="24"/>
        </w:rPr>
      </w:pPr>
      <w:r>
        <w:rPr>
          <w:sz w:val="24"/>
        </w:rPr>
        <w:t xml:space="preserve">（2）工程量清单中招标人指定的报价不允许调价； </w:t>
      </w:r>
    </w:p>
    <w:p>
      <w:pPr>
        <w:spacing w:line="360" w:lineRule="auto"/>
        <w:ind w:firstLine="480"/>
        <w:rPr>
          <w:sz w:val="24"/>
        </w:rPr>
      </w:pPr>
      <w:r>
        <w:rPr>
          <w:sz w:val="24"/>
        </w:rPr>
        <w:t>（3）调价函必须附有调价后的工程量清单；调价函必须附在投标文件报价文件其他材料首页，与投标文件一起密封提交。</w:t>
      </w:r>
    </w:p>
    <w:p>
      <w:pPr>
        <w:spacing w:line="360" w:lineRule="auto"/>
        <w:ind w:firstLine="480"/>
        <w:rPr>
          <w:sz w:val="24"/>
        </w:rPr>
      </w:pPr>
      <w:r>
        <w:rPr>
          <w:sz w:val="24"/>
        </w:rPr>
        <w:t>若投标人未提交调价后的工程量清单，或调价函未附在投标文件报价文件其他材料首页，调价函均视为无效，仍以原报价作为最终报价。若投标人提交的调价函多于一个，或对不允许调价的内容进行了调价，或调价函有附加条件，其投标将被否决。</w:t>
      </w:r>
    </w:p>
    <w:p>
      <w:pPr>
        <w:spacing w:line="360" w:lineRule="auto"/>
        <w:ind w:firstLine="480"/>
        <w:rPr>
          <w:sz w:val="24"/>
        </w:rPr>
      </w:pPr>
      <w:r>
        <w:rPr>
          <w:sz w:val="24"/>
        </w:rPr>
        <w:t>（4）若招标人接受调价函，投标人调价后的工程量清单和有效调价函的大写金额报价应保持一致，如果报价金额出现差异时，则以有效调价函的大写金额报价为准。</w:t>
      </w:r>
    </w:p>
    <w:p>
      <w:pPr>
        <w:spacing w:line="360" w:lineRule="auto"/>
        <w:ind w:firstLine="480"/>
        <w:rPr>
          <w:sz w:val="24"/>
        </w:rPr>
      </w:pPr>
      <w:r>
        <w:rPr>
          <w:sz w:val="24"/>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w:t>
      </w:r>
      <w:r>
        <w:rPr>
          <w:rFonts w:hint="eastAsia"/>
          <w:sz w:val="24"/>
        </w:rPr>
        <w:t>按照</w:t>
      </w:r>
      <w:r>
        <w:rPr>
          <w:sz w:val="24"/>
        </w:rPr>
        <w:t>此权重进行调价。</w:t>
      </w:r>
    </w:p>
    <w:p>
      <w:pPr>
        <w:spacing w:line="360" w:lineRule="auto"/>
        <w:ind w:firstLine="480"/>
        <w:rPr>
          <w:sz w:val="24"/>
        </w:rPr>
      </w:pPr>
      <w:r>
        <w:rPr>
          <w:sz w:val="24"/>
        </w:rPr>
        <w:t>3.2.8 招标人设有最高投标限价的，投标人的投标报价不得超过最高投标限价，最高投标限价在投标人须知前附表中载明。</w:t>
      </w:r>
    </w:p>
    <w:p>
      <w:pPr>
        <w:spacing w:line="360" w:lineRule="auto"/>
        <w:ind w:firstLine="480"/>
        <w:rPr>
          <w:sz w:val="24"/>
        </w:rPr>
      </w:pPr>
      <w:r>
        <w:rPr>
          <w:sz w:val="24"/>
        </w:rPr>
        <w:t>3.2.9 投标报价的其他要求见投标人须知前附表。</w:t>
      </w:r>
    </w:p>
    <w:p>
      <w:pPr>
        <w:keepNext/>
        <w:keepLines/>
        <w:spacing w:beforeLines="100" w:afterLines="100"/>
        <w:ind w:firstLine="0" w:firstLineChars="0"/>
        <w:outlineLvl w:val="2"/>
        <w:rPr>
          <w:rFonts w:eastAsia="黑体"/>
          <w:bCs/>
          <w:sz w:val="24"/>
          <w:szCs w:val="32"/>
        </w:rPr>
      </w:pPr>
      <w:bookmarkStart w:id="226" w:name="_Toc26656959"/>
      <w:bookmarkStart w:id="227" w:name="_Toc23608"/>
      <w:bookmarkStart w:id="228" w:name="_Toc138689368"/>
      <w:bookmarkStart w:id="229" w:name="_Toc3066"/>
      <w:bookmarkStart w:id="230" w:name="_Toc14201228"/>
      <w:bookmarkStart w:id="231" w:name="_Toc116662732"/>
      <w:r>
        <w:rPr>
          <w:rFonts w:eastAsia="黑体"/>
          <w:bCs/>
          <w:sz w:val="24"/>
          <w:szCs w:val="32"/>
        </w:rPr>
        <w:t>3.3投标有效期</w:t>
      </w:r>
      <w:bookmarkEnd w:id="226"/>
      <w:bookmarkEnd w:id="227"/>
      <w:bookmarkEnd w:id="228"/>
      <w:bookmarkEnd w:id="229"/>
      <w:bookmarkEnd w:id="230"/>
      <w:bookmarkEnd w:id="231"/>
    </w:p>
    <w:p>
      <w:pPr>
        <w:spacing w:line="360" w:lineRule="auto"/>
        <w:ind w:firstLine="480"/>
        <w:jc w:val="left"/>
        <w:rPr>
          <w:sz w:val="24"/>
        </w:rPr>
      </w:pPr>
      <w:bookmarkStart w:id="232" w:name="_Toc14201229"/>
      <w:bookmarkStart w:id="233" w:name="_Toc26656960"/>
      <w:r>
        <w:rPr>
          <w:snapToGrid w:val="0"/>
          <w:sz w:val="24"/>
          <w:shd w:val="clear" w:color="auto" w:fill="FFFFFF"/>
        </w:rPr>
        <w:t>3.3.1</w:t>
      </w:r>
      <w:r>
        <w:rPr>
          <w:sz w:val="24"/>
        </w:rPr>
        <w:t xml:space="preserve"> </w:t>
      </w:r>
      <w:r>
        <w:rPr>
          <w:bCs/>
          <w:snapToGrid w:val="0"/>
          <w:sz w:val="24"/>
        </w:rPr>
        <w:t>除投标人须知前附表另有规定外，投标有效期为120日。</w:t>
      </w:r>
    </w:p>
    <w:p>
      <w:pPr>
        <w:spacing w:line="360" w:lineRule="auto"/>
        <w:ind w:firstLine="480"/>
        <w:rPr>
          <w:sz w:val="24"/>
        </w:rPr>
      </w:pPr>
      <w:r>
        <w:rPr>
          <w:sz w:val="24"/>
        </w:rPr>
        <w:t xml:space="preserve">3.3.2 </w:t>
      </w:r>
      <w:r>
        <w:rPr>
          <w:bCs/>
          <w:snapToGrid w:val="0"/>
          <w:sz w:val="24"/>
        </w:rPr>
        <w:t>在投标有效期内，投标人撤销投标文件的，应承担招标文件和法律规定的责任。</w:t>
      </w:r>
    </w:p>
    <w:p>
      <w:pPr>
        <w:spacing w:line="360" w:lineRule="auto"/>
        <w:ind w:firstLine="480"/>
        <w:jc w:val="left"/>
        <w:rPr>
          <w:sz w:val="24"/>
        </w:rPr>
      </w:pPr>
      <w:r>
        <w:rPr>
          <w:sz w:val="24"/>
        </w:rPr>
        <w:t xml:space="preserve">3.3.3 </w:t>
      </w:r>
      <w:r>
        <w:rPr>
          <w:bCs/>
          <w:snapToGrid w:val="0"/>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银行转账、银行电汇）形式递交的投标保证金的银行同期活期存款利息。</w:t>
      </w:r>
    </w:p>
    <w:p>
      <w:pPr>
        <w:keepNext/>
        <w:keepLines/>
        <w:spacing w:beforeLines="100" w:afterLines="100"/>
        <w:ind w:firstLine="0" w:firstLineChars="0"/>
        <w:outlineLvl w:val="2"/>
        <w:rPr>
          <w:rFonts w:eastAsia="黑体"/>
          <w:bCs/>
          <w:sz w:val="24"/>
          <w:szCs w:val="32"/>
        </w:rPr>
      </w:pPr>
      <w:bookmarkStart w:id="234" w:name="_Toc4003"/>
      <w:bookmarkStart w:id="235" w:name="_Toc138689369"/>
      <w:bookmarkStart w:id="236" w:name="_Toc116662733"/>
      <w:bookmarkStart w:id="237" w:name="_Toc11011"/>
      <w:r>
        <w:rPr>
          <w:rFonts w:eastAsia="黑体"/>
          <w:bCs/>
          <w:sz w:val="24"/>
          <w:szCs w:val="32"/>
        </w:rPr>
        <w:t>3.4投标保证金</w:t>
      </w:r>
      <w:bookmarkEnd w:id="232"/>
      <w:bookmarkEnd w:id="233"/>
      <w:bookmarkEnd w:id="234"/>
      <w:bookmarkEnd w:id="235"/>
      <w:bookmarkEnd w:id="236"/>
      <w:bookmarkEnd w:id="237"/>
    </w:p>
    <w:p>
      <w:pPr>
        <w:spacing w:line="360" w:lineRule="auto"/>
        <w:ind w:firstLine="480"/>
        <w:rPr>
          <w:sz w:val="24"/>
        </w:rPr>
      </w:pPr>
      <w:r>
        <w:rPr>
          <w:sz w:val="24"/>
        </w:rPr>
        <w:t>3.4.1 投标人在递交投标文件的同时，应</w:t>
      </w:r>
      <w:r>
        <w:rPr>
          <w:rFonts w:hint="eastAsia"/>
          <w:sz w:val="24"/>
        </w:rPr>
        <w:t>按照</w:t>
      </w:r>
      <w:r>
        <w:rPr>
          <w:sz w:val="24"/>
        </w:rPr>
        <w:t>投标人须知前附表规定的金额、担保形式和第九</w:t>
      </w:r>
      <w:r>
        <w:rPr>
          <w:rFonts w:hint="eastAsia" w:ascii="宋体" w:hAnsi="宋体" w:cs="宋体"/>
          <w:sz w:val="24"/>
        </w:rPr>
        <w:t>章“投标文件格式”</w:t>
      </w:r>
      <w:r>
        <w:rPr>
          <w:sz w:val="24"/>
        </w:rPr>
        <w:t>规定的投标保证金格式递交投标保证金，并作为其投标文件的组成部分。</w:t>
      </w:r>
    </w:p>
    <w:p>
      <w:pPr>
        <w:spacing w:line="360" w:lineRule="auto"/>
        <w:ind w:firstLine="480"/>
        <w:rPr>
          <w:sz w:val="24"/>
        </w:rPr>
      </w:pPr>
      <w:r>
        <w:rPr>
          <w:sz w:val="24"/>
        </w:rPr>
        <w:t>境内投标人以现金</w:t>
      </w:r>
      <w:r>
        <w:rPr>
          <w:bCs/>
          <w:snapToGrid w:val="0"/>
          <w:sz w:val="24"/>
        </w:rPr>
        <w:t>（银行转账、银行电汇）</w:t>
      </w:r>
      <w:r>
        <w:rPr>
          <w:sz w:val="24"/>
        </w:rPr>
        <w:t>形式提交的投标保证金，应当从其基本存款账户转出。联合体投标的，其投标保证金由牵头人递交，并应符合投标人须知前附表的规定。</w:t>
      </w:r>
    </w:p>
    <w:p>
      <w:pPr>
        <w:spacing w:line="360" w:lineRule="auto"/>
        <w:ind w:firstLine="480"/>
        <w:rPr>
          <w:sz w:val="24"/>
        </w:rPr>
      </w:pPr>
      <w:r>
        <w:rPr>
          <w:sz w:val="24"/>
        </w:rPr>
        <w:t>无论采取何种形式的投标保证金，投标保证金有效期均应与投标有效期一致。招标人如果</w:t>
      </w:r>
      <w:r>
        <w:rPr>
          <w:rFonts w:hint="eastAsia"/>
          <w:sz w:val="24"/>
        </w:rPr>
        <w:t>按照</w:t>
      </w:r>
      <w:r>
        <w:rPr>
          <w:sz w:val="24"/>
        </w:rPr>
        <w:t>本章第3.3.3项的规定延长了投标有效期，则投标保证金的有效期也相应延长。</w:t>
      </w:r>
    </w:p>
    <w:p>
      <w:pPr>
        <w:spacing w:line="360" w:lineRule="auto"/>
        <w:ind w:firstLine="480"/>
        <w:rPr>
          <w:sz w:val="24"/>
        </w:rPr>
      </w:pPr>
      <w:r>
        <w:rPr>
          <w:sz w:val="24"/>
        </w:rPr>
        <w:t>3.4.2 投标人不</w:t>
      </w:r>
      <w:r>
        <w:rPr>
          <w:rFonts w:hint="eastAsia"/>
          <w:sz w:val="24"/>
        </w:rPr>
        <w:t>按照</w:t>
      </w:r>
      <w:r>
        <w:rPr>
          <w:sz w:val="24"/>
        </w:rPr>
        <w:t>本章第3.4.1项要求提交投标保证金的，评标委员会将否决其投标。</w:t>
      </w:r>
    </w:p>
    <w:p>
      <w:pPr>
        <w:spacing w:line="360" w:lineRule="auto"/>
        <w:ind w:firstLine="480"/>
        <w:rPr>
          <w:sz w:val="24"/>
        </w:rPr>
      </w:pPr>
      <w:r>
        <w:rPr>
          <w:sz w:val="24"/>
        </w:rPr>
        <w:t xml:space="preserve">3.4.3 </w:t>
      </w:r>
      <w:r>
        <w:rPr>
          <w:rFonts w:hint="eastAsia"/>
          <w:sz w:val="24"/>
        </w:rPr>
        <w:t>除投标人须知前附表另有规定外，</w:t>
      </w:r>
      <w:r>
        <w:rPr>
          <w:sz w:val="24"/>
        </w:rPr>
        <w:t>招标人最迟将在中标通知书发出后5日内向中标候选人以外的其他投标人退还投标保证金，与中标人签订合同后5日内向中标人和其他中标候选人退还投标保证金。投标保证金以现金（银行转账、银行电汇）形式提交的，招标人应同时退还投标保证金的银行同期活期存款利息，且退还至投标人的基本存款账户。其他形式的投标保证金，在投标有效期届满时自动失效的，无需退还。</w:t>
      </w:r>
    </w:p>
    <w:p>
      <w:pPr>
        <w:spacing w:line="360" w:lineRule="auto"/>
        <w:ind w:firstLine="480"/>
        <w:rPr>
          <w:sz w:val="24"/>
        </w:rPr>
      </w:pPr>
      <w:bookmarkStart w:id="238" w:name="_Toc26656961"/>
      <w:bookmarkStart w:id="239" w:name="_Toc14201230"/>
      <w:r>
        <w:rPr>
          <w:sz w:val="24"/>
        </w:rPr>
        <w:t xml:space="preserve">3.4.4 有下列情形之一的，投标保证金将不予退还： </w:t>
      </w:r>
    </w:p>
    <w:p>
      <w:pPr>
        <w:spacing w:line="360" w:lineRule="auto"/>
        <w:ind w:firstLine="480"/>
        <w:rPr>
          <w:sz w:val="24"/>
        </w:rPr>
      </w:pPr>
      <w:r>
        <w:rPr>
          <w:sz w:val="24"/>
        </w:rPr>
        <w:t>（1）投标人在规定的投标有效期内撤销其投标文件；</w:t>
      </w:r>
    </w:p>
    <w:p>
      <w:pPr>
        <w:spacing w:line="360" w:lineRule="auto"/>
        <w:ind w:firstLine="480"/>
        <w:rPr>
          <w:sz w:val="24"/>
        </w:rPr>
      </w:pPr>
      <w:r>
        <w:rPr>
          <w:sz w:val="24"/>
        </w:rPr>
        <w:t>（2）中标人在收到中标通知书后，无正当理由不与招标人订立合同，在签订合同时向招标人提出附加条件，或不按照招标文件要求提交履约保证金；</w:t>
      </w:r>
    </w:p>
    <w:p>
      <w:pPr>
        <w:spacing w:line="360" w:lineRule="auto"/>
        <w:ind w:firstLine="480"/>
        <w:rPr>
          <w:bCs/>
          <w:snapToGrid w:val="0"/>
          <w:sz w:val="24"/>
        </w:rPr>
      </w:pPr>
      <w:r>
        <w:rPr>
          <w:bCs/>
          <w:snapToGrid w:val="0"/>
          <w:sz w:val="24"/>
        </w:rPr>
        <w:t>（3）发生投标人须知前附表规定的其他不予退还投标保证金的情形。</w:t>
      </w:r>
    </w:p>
    <w:p>
      <w:pPr>
        <w:keepNext/>
        <w:keepLines/>
        <w:spacing w:beforeLines="100" w:afterLines="100"/>
        <w:ind w:firstLine="0" w:firstLineChars="0"/>
        <w:outlineLvl w:val="2"/>
        <w:rPr>
          <w:rFonts w:eastAsia="黑体"/>
          <w:bCs/>
          <w:sz w:val="24"/>
          <w:szCs w:val="32"/>
        </w:rPr>
      </w:pPr>
      <w:bookmarkStart w:id="240" w:name="_Toc12091"/>
      <w:bookmarkStart w:id="241" w:name="_Toc138689370"/>
      <w:bookmarkStart w:id="242" w:name="_Toc116662734"/>
      <w:bookmarkStart w:id="243" w:name="_Toc19127"/>
      <w:r>
        <w:rPr>
          <w:rFonts w:eastAsia="黑体"/>
          <w:bCs/>
          <w:sz w:val="24"/>
          <w:szCs w:val="32"/>
        </w:rPr>
        <w:t>3.5资格审查资料</w:t>
      </w:r>
      <w:bookmarkEnd w:id="238"/>
      <w:bookmarkEnd w:id="239"/>
      <w:bookmarkEnd w:id="240"/>
      <w:bookmarkEnd w:id="241"/>
      <w:bookmarkEnd w:id="242"/>
      <w:bookmarkEnd w:id="243"/>
    </w:p>
    <w:p>
      <w:pPr>
        <w:spacing w:line="360" w:lineRule="auto"/>
        <w:ind w:firstLine="480"/>
        <w:rPr>
          <w:sz w:val="24"/>
        </w:rPr>
      </w:pPr>
      <w:r>
        <w:rPr>
          <w:sz w:val="24"/>
        </w:rPr>
        <w:t>除投标人须知前附表另有规定外，投标人应</w:t>
      </w:r>
      <w:r>
        <w:rPr>
          <w:rFonts w:hint="eastAsia"/>
          <w:sz w:val="24"/>
        </w:rPr>
        <w:t>按照</w:t>
      </w:r>
      <w:r>
        <w:rPr>
          <w:sz w:val="24"/>
        </w:rPr>
        <w:t>下列规定提供资格审查资料，以证明其满足本章第1.4款规定的资质、业绩、信誉等要求。</w:t>
      </w:r>
    </w:p>
    <w:p>
      <w:pPr>
        <w:spacing w:line="360" w:lineRule="auto"/>
        <w:ind w:firstLine="480"/>
        <w:rPr>
          <w:sz w:val="24"/>
        </w:rPr>
      </w:pPr>
      <w:r>
        <w:rPr>
          <w:sz w:val="24"/>
        </w:rPr>
        <w:t xml:space="preserve">3.5.1 </w:t>
      </w:r>
      <w:r>
        <w:rPr>
          <w:rFonts w:hint="eastAsia" w:ascii="宋体" w:hAnsi="宋体" w:cs="宋体"/>
          <w:sz w:val="24"/>
        </w:rPr>
        <w:t>“投标人基本情况表”</w:t>
      </w:r>
      <w:r>
        <w:rPr>
          <w:sz w:val="24"/>
        </w:rPr>
        <w:t>应附企业法人营业执照、资质证书、安全生产许可证。</w:t>
      </w:r>
    </w:p>
    <w:p>
      <w:pPr>
        <w:spacing w:line="360" w:lineRule="auto"/>
        <w:ind w:firstLine="480"/>
        <w:rPr>
          <w:sz w:val="24"/>
        </w:rPr>
      </w:pPr>
      <w:r>
        <w:rPr>
          <w:sz w:val="24"/>
        </w:rPr>
        <w:t>投标人在交通运输部</w:t>
      </w:r>
      <w:r>
        <w:rPr>
          <w:rFonts w:hint="eastAsia"/>
          <w:sz w:val="24"/>
        </w:rPr>
        <w:t>“</w:t>
      </w:r>
      <w:r>
        <w:rPr>
          <w:rFonts w:hint="eastAsia"/>
          <w:sz w:val="24"/>
          <w:lang w:eastAsia="zh-CN"/>
        </w:rPr>
        <w:t>全国公路建设市场监督管理系统</w:t>
      </w:r>
      <w:r>
        <w:rPr>
          <w:rFonts w:hint="eastAsia"/>
          <w:sz w:val="24"/>
        </w:rPr>
        <w:t>”</w:t>
      </w:r>
      <w:r>
        <w:rPr>
          <w:sz w:val="24"/>
        </w:rPr>
        <w:t>公路工程施工资质企业名录中的网页截图（如要求）。</w:t>
      </w:r>
    </w:p>
    <w:p>
      <w:pPr>
        <w:spacing w:line="360" w:lineRule="auto"/>
        <w:ind w:firstLine="480"/>
        <w:rPr>
          <w:sz w:val="24"/>
        </w:rPr>
      </w:pPr>
      <w:r>
        <w:rPr>
          <w:sz w:val="24"/>
        </w:rPr>
        <w:t>企业法人营业执照、资质证书、安全生产许可证应包括投标人名称、投标人其他相关信息、颁发机构名称、投标人信息变更情况等关键页在内。</w:t>
      </w:r>
    </w:p>
    <w:p>
      <w:pPr>
        <w:spacing w:line="360" w:lineRule="auto"/>
        <w:ind w:firstLine="480"/>
        <w:rPr>
          <w:sz w:val="24"/>
        </w:rPr>
      </w:pPr>
      <w:r>
        <w:rPr>
          <w:sz w:val="24"/>
        </w:rPr>
        <w:t>3.5.2</w:t>
      </w:r>
      <w:r>
        <w:rPr>
          <w:rFonts w:hint="eastAsia"/>
          <w:sz w:val="24"/>
        </w:rPr>
        <w:t xml:space="preserve"> </w:t>
      </w:r>
      <w:r>
        <w:rPr>
          <w:rFonts w:hint="eastAsia" w:ascii="宋体" w:hAnsi="宋体" w:cs="宋体"/>
          <w:sz w:val="24"/>
        </w:rPr>
        <w:t>“财务状况表”</w:t>
      </w:r>
      <w:r>
        <w:rPr>
          <w:sz w:val="24"/>
        </w:rPr>
        <w:t>应附经会计师事务所或审计机构审计的财务会计报表，包括资产负债表、现金流量表、利润表和财务情况说明书，具体年份要求见投标人须知前附表。投标人的成立时间少于投标人须知前附表规定年份的，应提供成立以来的财务状况表。</w:t>
      </w:r>
    </w:p>
    <w:p>
      <w:pPr>
        <w:spacing w:line="360" w:lineRule="auto"/>
        <w:ind w:firstLine="482"/>
        <w:rPr>
          <w:b/>
          <w:sz w:val="24"/>
        </w:rPr>
      </w:pPr>
      <w:r>
        <w:rPr>
          <w:b/>
          <w:sz w:val="24"/>
        </w:rPr>
        <w:t xml:space="preserve">3.5.3 </w:t>
      </w:r>
      <w:r>
        <w:rPr>
          <w:rFonts w:hint="eastAsia" w:ascii="宋体" w:hAnsi="宋体" w:cs="宋体"/>
          <w:b/>
          <w:sz w:val="24"/>
        </w:rPr>
        <w:t>“近年完成的类似项目”</w:t>
      </w:r>
      <w:r>
        <w:rPr>
          <w:b/>
          <w:sz w:val="24"/>
        </w:rPr>
        <w:t>应是已列入交通运输主管部门</w:t>
      </w:r>
      <w:r>
        <w:rPr>
          <w:rFonts w:hint="eastAsia"/>
          <w:b/>
          <w:sz w:val="24"/>
        </w:rPr>
        <w:t>“</w:t>
      </w:r>
      <w:r>
        <w:rPr>
          <w:rFonts w:hint="eastAsia" w:ascii="宋体" w:hAnsi="宋体" w:cs="宋体"/>
          <w:b/>
          <w:sz w:val="24"/>
          <w:lang w:eastAsia="zh-CN"/>
        </w:rPr>
        <w:t>公路建设市场信用信息管理系统</w:t>
      </w:r>
      <w:r>
        <w:rPr>
          <w:rFonts w:hint="eastAsia"/>
          <w:b/>
          <w:sz w:val="24"/>
        </w:rPr>
        <w:t>”</w:t>
      </w:r>
      <w:r>
        <w:rPr>
          <w:b/>
          <w:sz w:val="24"/>
        </w:rPr>
        <w:t>并公开的主包已建业绩或分包已建业绩，具体时间要求见投标人须知前附表。</w:t>
      </w:r>
    </w:p>
    <w:p>
      <w:pPr>
        <w:spacing w:line="360" w:lineRule="auto"/>
        <w:ind w:firstLine="482"/>
        <w:rPr>
          <w:b/>
          <w:sz w:val="24"/>
        </w:rPr>
      </w:pPr>
      <w:r>
        <w:rPr>
          <w:rFonts w:hint="eastAsia" w:ascii="宋体" w:hAnsi="宋体" w:cs="宋体"/>
          <w:b/>
          <w:sz w:val="24"/>
        </w:rPr>
        <w:t>“投标人近年完成的类似项目情况表”应附交通运输部“</w:t>
      </w:r>
      <w:r>
        <w:rPr>
          <w:rFonts w:hint="eastAsia" w:ascii="宋体" w:hAnsi="宋体" w:cs="宋体"/>
          <w:b/>
          <w:sz w:val="24"/>
          <w:lang w:eastAsia="zh-CN"/>
        </w:rPr>
        <w:t>全国公路建设市场监督管理系统（https://hwdms.mot.gov.cn/BMWebSite/）</w:t>
      </w:r>
      <w:r>
        <w:rPr>
          <w:b/>
          <w:sz w:val="24"/>
        </w:rPr>
        <w:t>中查询到的企</w:t>
      </w:r>
      <w:r>
        <w:rPr>
          <w:rFonts w:hint="eastAsia" w:ascii="宋体" w:hAnsi="宋体" w:cs="宋体"/>
          <w:b/>
          <w:sz w:val="24"/>
        </w:rPr>
        <w:t>业“业绩信息”相关项目网页截图，即包括“项目名称” “标段类型” “合同价”“主要工程量”“项目主要管理人员”等栏目在内的项目详细信息网页截图。在交通运输部“</w:t>
      </w:r>
      <w:r>
        <w:rPr>
          <w:rFonts w:hint="eastAsia" w:ascii="宋体" w:hAnsi="宋体" w:cs="宋体"/>
          <w:b/>
          <w:sz w:val="24"/>
          <w:lang w:eastAsia="zh-CN"/>
        </w:rPr>
        <w:t>全国公路建设市场监督管理系统</w:t>
      </w:r>
      <w:r>
        <w:rPr>
          <w:rFonts w:hint="eastAsia" w:ascii="宋体" w:hAnsi="宋体" w:cs="宋体"/>
          <w:b/>
          <w:sz w:val="24"/>
        </w:rPr>
        <w:t>”中无法查询，但可在省级交通运输主管部门“</w:t>
      </w:r>
      <w:r>
        <w:rPr>
          <w:rFonts w:hint="eastAsia" w:ascii="宋体" w:hAnsi="宋体" w:cs="宋体"/>
          <w:b/>
          <w:sz w:val="24"/>
          <w:highlight w:val="none"/>
          <w:lang w:eastAsia="zh-CN"/>
        </w:rPr>
        <w:t>公路建设市场信用信息管理系统</w:t>
      </w:r>
      <w:r>
        <w:rPr>
          <w:rFonts w:hint="eastAsia" w:ascii="宋体" w:hAnsi="宋体" w:cs="宋体"/>
          <w:b/>
          <w:sz w:val="24"/>
          <w:highlight w:val="none"/>
        </w:rPr>
        <w:t>”中查询的，应附省级交通运输主管部门“</w:t>
      </w:r>
      <w:r>
        <w:rPr>
          <w:rFonts w:hint="eastAsia" w:ascii="宋体" w:hAnsi="宋体" w:cs="宋体"/>
          <w:b/>
          <w:sz w:val="24"/>
          <w:highlight w:val="none"/>
          <w:lang w:eastAsia="zh-CN"/>
        </w:rPr>
        <w:t>公路建设市场信用信息管理系统</w:t>
      </w:r>
      <w:r>
        <w:rPr>
          <w:rFonts w:hint="eastAsia" w:ascii="宋体" w:hAnsi="宋体" w:cs="宋体"/>
          <w:b/>
          <w:sz w:val="24"/>
          <w:highlight w:val="none"/>
        </w:rPr>
        <w:t>”中查询到的网页截图。除网页截图外，投标人无须再提供任何业绩证明材料</w:t>
      </w:r>
      <w:r>
        <w:rPr>
          <w:b/>
          <w:sz w:val="24"/>
          <w:highlight w:val="none"/>
        </w:rPr>
        <w:t>。</w:t>
      </w:r>
    </w:p>
    <w:p>
      <w:pPr>
        <w:spacing w:line="360" w:lineRule="auto"/>
        <w:ind w:firstLine="482"/>
        <w:rPr>
          <w:b/>
          <w:sz w:val="24"/>
        </w:rPr>
      </w:pPr>
      <w:r>
        <w:rPr>
          <w:b/>
          <w:sz w:val="24"/>
        </w:rPr>
        <w:t>如投标人未提供相关项目网页截图或相关项目网页截图中的信息无法证实投标人满足招标文件规定的资格审查条件（业绩最低要求），则该项目业绩不予认定。</w:t>
      </w:r>
    </w:p>
    <w:p>
      <w:pPr>
        <w:adjustRightInd w:val="0"/>
        <w:snapToGrid w:val="0"/>
        <w:spacing w:line="360" w:lineRule="auto"/>
        <w:ind w:firstLine="482"/>
        <w:rPr>
          <w:sz w:val="24"/>
        </w:rPr>
      </w:pPr>
      <w:r>
        <w:rPr>
          <w:b/>
          <w:sz w:val="24"/>
        </w:rPr>
        <w:t>3.5.4 投标人须提供</w:t>
      </w:r>
      <w:r>
        <w:rPr>
          <w:rFonts w:hint="eastAsia" w:ascii="宋体" w:hAnsi="宋体" w:cs="宋体"/>
          <w:b/>
          <w:sz w:val="24"/>
        </w:rPr>
        <w:t>“诚信投标承诺书”，“诚信投标承诺书”即为投标的承诺。如投标人承诺与实际不符，招标人有权取消其中标（或中标候选）资格，并报公共资源交易监督管理部门。其中招标公告规定的信誉要求，投标人无需提供其他证明材料，由评标委员会通过电子服务系统查询</w:t>
      </w:r>
      <w:r>
        <w:rPr>
          <w:b/>
          <w:sz w:val="24"/>
        </w:rPr>
        <w:t>。</w:t>
      </w:r>
    </w:p>
    <w:p>
      <w:pPr>
        <w:adjustRightInd w:val="0"/>
        <w:snapToGrid w:val="0"/>
        <w:spacing w:line="360" w:lineRule="auto"/>
        <w:ind w:firstLine="482"/>
        <w:rPr>
          <w:b/>
          <w:sz w:val="24"/>
        </w:rPr>
      </w:pPr>
      <w:r>
        <w:rPr>
          <w:b/>
          <w:sz w:val="24"/>
        </w:rPr>
        <w:t xml:space="preserve">3.5.5 </w:t>
      </w:r>
      <w:r>
        <w:rPr>
          <w:rFonts w:hint="eastAsia" w:ascii="宋体" w:hAnsi="宋体" w:cs="宋体"/>
          <w:b/>
          <w:sz w:val="24"/>
        </w:rPr>
        <w:t>“项目经理（项目总工）简历表”应附项目经理和项目总工的身份证以及资格审查条件所要求的相关证书（如建造师注册证书、安全生产考核合格证书等），以及投标人所属社保机构出具的项目经理和项目总工的社保缴费证明材料或其他能够证明拟委任的项目经理和项目总工参加社保的有效证明材料</w:t>
      </w:r>
      <w:r>
        <w:rPr>
          <w:rFonts w:hint="eastAsia" w:cs="楷体"/>
          <w:b/>
          <w:bCs/>
          <w:snapToGrid w:val="0"/>
          <w:sz w:val="24"/>
        </w:rPr>
        <w:t>（社保缴费证明或社保的有效证明材料至少含养老保险）</w:t>
      </w:r>
      <w:r>
        <w:rPr>
          <w:b/>
          <w:sz w:val="24"/>
        </w:rPr>
        <w:t>。</w:t>
      </w:r>
    </w:p>
    <w:p>
      <w:pPr>
        <w:adjustRightInd w:val="0"/>
        <w:snapToGrid w:val="0"/>
        <w:spacing w:line="360" w:lineRule="auto"/>
        <w:ind w:firstLine="482"/>
        <w:rPr>
          <w:b/>
          <w:sz w:val="24"/>
        </w:rPr>
      </w:pPr>
      <w:r>
        <w:rPr>
          <w:rFonts w:hint="eastAsia" w:ascii="宋体" w:hAnsi="宋体" w:cs="宋体"/>
          <w:b/>
          <w:sz w:val="24"/>
        </w:rPr>
        <w:t>“项目经理（项目总工）近年完成的类似项目情况表”还应附交通运输部“</w:t>
      </w:r>
      <w:r>
        <w:rPr>
          <w:rFonts w:hint="eastAsia" w:ascii="宋体" w:hAnsi="宋体" w:cs="宋体"/>
          <w:b/>
          <w:sz w:val="24"/>
          <w:lang w:eastAsia="zh-CN"/>
        </w:rPr>
        <w:t>全国公路建设市场监督管理系统</w:t>
      </w:r>
      <w:r>
        <w:rPr>
          <w:rFonts w:hint="eastAsia" w:ascii="宋体" w:hAnsi="宋体" w:cs="宋体"/>
          <w:b/>
          <w:sz w:val="24"/>
        </w:rPr>
        <w:t>”中载明的、能够证明项目经理和项目总工具有相关业绩的网页截图。在交通运输部“</w:t>
      </w:r>
      <w:r>
        <w:rPr>
          <w:rFonts w:hint="eastAsia" w:ascii="宋体" w:hAnsi="宋体" w:cs="宋体"/>
          <w:b/>
          <w:sz w:val="24"/>
          <w:lang w:eastAsia="zh-CN"/>
        </w:rPr>
        <w:t>全国公路建设市场监督管理系统</w:t>
      </w:r>
      <w:r>
        <w:rPr>
          <w:rFonts w:hint="eastAsia" w:ascii="宋体" w:hAnsi="宋体" w:cs="宋体"/>
          <w:b/>
          <w:sz w:val="24"/>
        </w:rPr>
        <w:t>”中无法查询的，但可在省级交通运输主管部门“</w:t>
      </w:r>
      <w:r>
        <w:rPr>
          <w:rFonts w:hint="eastAsia" w:ascii="宋体" w:hAnsi="宋体" w:cs="宋体"/>
          <w:b/>
          <w:sz w:val="24"/>
          <w:lang w:eastAsia="zh-CN"/>
        </w:rPr>
        <w:t>公路建设市场信用信息管理系统</w:t>
      </w:r>
      <w:r>
        <w:rPr>
          <w:rFonts w:hint="eastAsia" w:ascii="宋体" w:hAnsi="宋体" w:cs="宋体"/>
          <w:b/>
          <w:sz w:val="24"/>
        </w:rPr>
        <w:t>”中查询的，应附省级交通运输主管部门“</w:t>
      </w:r>
      <w:r>
        <w:rPr>
          <w:rFonts w:hint="eastAsia" w:ascii="宋体" w:hAnsi="宋体" w:cs="宋体"/>
          <w:b/>
          <w:sz w:val="24"/>
          <w:lang w:eastAsia="zh-CN"/>
        </w:rPr>
        <w:t>公路建设市场信用信息管理系统</w:t>
      </w:r>
      <w:r>
        <w:rPr>
          <w:rFonts w:hint="eastAsia" w:ascii="宋体" w:hAnsi="宋体" w:cs="宋体"/>
          <w:b/>
          <w:sz w:val="24"/>
        </w:rPr>
        <w:t>”中查询到的网页截图。除网页截图外，投标人无须再提供任何业绩证明材料。如投标人未提供相关业绩网页截图或相关业绩网页截图</w:t>
      </w:r>
      <w:r>
        <w:rPr>
          <w:b/>
          <w:sz w:val="24"/>
        </w:rPr>
        <w:t>中的信息无法证实投标人满足招标文件规定的资格审查条件（项目经理和项目总工最低要求），则该业绩不予认定。</w:t>
      </w:r>
    </w:p>
    <w:p>
      <w:pPr>
        <w:adjustRightInd w:val="0"/>
        <w:snapToGrid w:val="0"/>
        <w:spacing w:line="360" w:lineRule="auto"/>
        <w:ind w:firstLine="482"/>
        <w:rPr>
          <w:sz w:val="24"/>
        </w:rPr>
      </w:pPr>
      <w:r>
        <w:rPr>
          <w:b/>
          <w:sz w:val="24"/>
        </w:rPr>
        <w:t>如项目经理或项目总工目前仍在其他项目上任职，则投标人应提供上述人员能够从该项目撤离的承诺。</w:t>
      </w:r>
    </w:p>
    <w:p>
      <w:pPr>
        <w:spacing w:line="360" w:lineRule="auto"/>
        <w:ind w:firstLine="480"/>
        <w:rPr>
          <w:sz w:val="24"/>
        </w:rPr>
      </w:pPr>
      <w:r>
        <w:rPr>
          <w:sz w:val="24"/>
        </w:rPr>
        <w:t>3.5.6</w:t>
      </w:r>
      <w:r>
        <w:rPr>
          <w:rFonts w:hint="eastAsia"/>
          <w:sz w:val="24"/>
        </w:rPr>
        <w:t xml:space="preserve"> </w:t>
      </w:r>
      <w:r>
        <w:rPr>
          <w:rFonts w:hint="eastAsia" w:ascii="宋体" w:hAnsi="宋体" w:cs="宋体"/>
          <w:sz w:val="24"/>
        </w:rPr>
        <w:t>“其他管理和技术人员汇总表”（如有）应填报满足本章前附表附录6规定的其他人员的相关信息。“其他管理和技术人员简历表”（如有）中相关人员应附身份证以及资格审查条件所要求的相关证书，相关业绩证明材料，以及投标人所属社保机构出具的其他管理和技术人员的社保缴费证明材料或其他能够证明拟委任的其他管理和技术人员参加社保的有效证明材料</w:t>
      </w:r>
      <w:r>
        <w:rPr>
          <w:rFonts w:hint="eastAsia" w:cs="楷体"/>
          <w:bCs/>
          <w:snapToGrid w:val="0"/>
          <w:sz w:val="24"/>
        </w:rPr>
        <w:t>（社保缴费证明或社保的有效证明材料至少含养老保险）</w:t>
      </w:r>
      <w:r>
        <w:rPr>
          <w:sz w:val="24"/>
        </w:rPr>
        <w:t>。</w:t>
      </w:r>
    </w:p>
    <w:p>
      <w:pPr>
        <w:spacing w:line="360" w:lineRule="auto"/>
        <w:ind w:firstLine="480"/>
        <w:rPr>
          <w:sz w:val="24"/>
        </w:rPr>
      </w:pPr>
      <w:r>
        <w:rPr>
          <w:sz w:val="24"/>
        </w:rPr>
        <w:t>3.5.7</w:t>
      </w:r>
      <w:r>
        <w:rPr>
          <w:rFonts w:hint="eastAsia"/>
          <w:sz w:val="24"/>
        </w:rPr>
        <w:t xml:space="preserve"> </w:t>
      </w:r>
      <w:r>
        <w:rPr>
          <w:rFonts w:hint="eastAsia" w:ascii="宋体" w:hAnsi="宋体" w:cs="宋体"/>
          <w:sz w:val="24"/>
        </w:rPr>
        <w:t>“拟投入本标段的主要施工机械表”“拟配备本标段的主要材料试验、测量、质检仪器设备表”（如有）应填报满足本章前附表附录7规定的机械设备和试验检测设备</w:t>
      </w:r>
      <w:r>
        <w:rPr>
          <w:sz w:val="24"/>
        </w:rPr>
        <w:t>。</w:t>
      </w:r>
    </w:p>
    <w:p>
      <w:pPr>
        <w:spacing w:line="360" w:lineRule="auto"/>
        <w:ind w:firstLine="480"/>
        <w:rPr>
          <w:sz w:val="24"/>
        </w:rPr>
      </w:pPr>
      <w:r>
        <w:rPr>
          <w:sz w:val="24"/>
        </w:rPr>
        <w:t>3.5.8 投标人须知前附表规定接受联合体投标的，本章第3.5.1项至第3.5.7项规定的表格和</w:t>
      </w:r>
      <w:r>
        <w:rPr>
          <w:rFonts w:hint="eastAsia"/>
          <w:sz w:val="24"/>
        </w:rPr>
        <w:t>材</w:t>
      </w:r>
      <w:r>
        <w:rPr>
          <w:sz w:val="24"/>
        </w:rPr>
        <w:t>料应包括联合体各方相关情况。</w:t>
      </w:r>
    </w:p>
    <w:p>
      <w:pPr>
        <w:spacing w:line="360" w:lineRule="auto"/>
        <w:ind w:firstLine="480"/>
        <w:rPr>
          <w:sz w:val="24"/>
        </w:rPr>
      </w:pPr>
      <w:r>
        <w:rPr>
          <w:sz w:val="24"/>
        </w:rPr>
        <w:t>3.5.9 除合同条款约定的特殊情形外，投标人在投标文件中填报的项目经理和项目总工不允许更换。</w:t>
      </w:r>
    </w:p>
    <w:p>
      <w:pPr>
        <w:spacing w:line="360" w:lineRule="auto"/>
        <w:ind w:firstLine="480"/>
        <w:rPr>
          <w:sz w:val="24"/>
        </w:rPr>
      </w:pPr>
      <w:r>
        <w:rPr>
          <w:sz w:val="24"/>
        </w:rPr>
        <w:t xml:space="preserve">3.5.10 </w:t>
      </w:r>
      <w:r>
        <w:rPr>
          <w:rFonts w:hint="eastAsia" w:ascii="宋体" w:hAnsi="宋体" w:cs="宋体"/>
          <w:sz w:val="24"/>
        </w:rPr>
        <w:t>投标人在投标文件中填报的资质、业绩、主要人员资历和目前在岗情况、信用等级等信息，应与其在交通运输主管部门“</w:t>
      </w:r>
      <w:r>
        <w:rPr>
          <w:rFonts w:hint="eastAsia" w:ascii="宋体" w:hAnsi="宋体" w:cs="宋体"/>
          <w:sz w:val="24"/>
          <w:lang w:eastAsia="zh-CN"/>
        </w:rPr>
        <w:t>公路建设市场信用信息管理系统</w:t>
      </w:r>
      <w:r>
        <w:rPr>
          <w:rFonts w:hint="eastAsia" w:ascii="宋体" w:hAnsi="宋体" w:cs="宋体"/>
          <w:sz w:val="24"/>
        </w:rPr>
        <w:t>”上填报并发布的相关信息一致。投标人应根据本单位实际情况及时完成相关信息的申报、录入和动态更新</w:t>
      </w:r>
      <w:r>
        <w:rPr>
          <w:sz w:val="24"/>
        </w:rPr>
        <w:t>，并对相关信息的真实性、完整性和准确性负责。</w:t>
      </w:r>
    </w:p>
    <w:p>
      <w:pPr>
        <w:spacing w:line="360" w:lineRule="auto"/>
        <w:ind w:firstLine="480"/>
        <w:rPr>
          <w:sz w:val="24"/>
        </w:rPr>
      </w:pPr>
      <w:r>
        <w:rPr>
          <w:sz w:val="24"/>
        </w:rPr>
        <w:t>3.5.11 招标人有权核查投标人在投标文件中提供的</w:t>
      </w:r>
      <w:r>
        <w:rPr>
          <w:rFonts w:hint="eastAsia"/>
          <w:sz w:val="24"/>
        </w:rPr>
        <w:t>材</w:t>
      </w:r>
      <w:r>
        <w:rPr>
          <w:sz w:val="24"/>
        </w:rPr>
        <w:t>料，若在评标期间发现投标人提供了虚假</w:t>
      </w:r>
      <w:r>
        <w:rPr>
          <w:rFonts w:hint="eastAsia"/>
          <w:sz w:val="24"/>
        </w:rPr>
        <w:t>材</w:t>
      </w:r>
      <w:r>
        <w:rPr>
          <w:sz w:val="24"/>
        </w:rPr>
        <w:t>料，其投标将被否决；若在签订合同前发现</w:t>
      </w:r>
      <w:r>
        <w:rPr>
          <w:rFonts w:hint="eastAsia"/>
          <w:sz w:val="24"/>
        </w:rPr>
        <w:t>中标候选人、</w:t>
      </w:r>
      <w:r>
        <w:rPr>
          <w:sz w:val="24"/>
        </w:rPr>
        <w:t>中标人提供了虚假</w:t>
      </w:r>
      <w:r>
        <w:rPr>
          <w:rFonts w:hint="eastAsia"/>
          <w:sz w:val="24"/>
        </w:rPr>
        <w:t>材</w:t>
      </w:r>
      <w:r>
        <w:rPr>
          <w:sz w:val="24"/>
        </w:rPr>
        <w:t>料，招标人有权取消其</w:t>
      </w:r>
      <w:r>
        <w:rPr>
          <w:rFonts w:hint="eastAsia"/>
          <w:sz w:val="24"/>
        </w:rPr>
        <w:t>中标候选人、</w:t>
      </w:r>
      <w:r>
        <w:rPr>
          <w:sz w:val="24"/>
        </w:rPr>
        <w:t>中标资格；若在合同实施期间发现投标人提供了虚假</w:t>
      </w:r>
      <w:r>
        <w:rPr>
          <w:rFonts w:hint="eastAsia"/>
          <w:sz w:val="24"/>
        </w:rPr>
        <w:t>材</w:t>
      </w:r>
      <w:r>
        <w:rPr>
          <w:sz w:val="24"/>
        </w:rPr>
        <w:t>料，招标人有权从工程支付款或履约保证金中扣除不超过10%签约合同价的金额作为违约金。同时招标人将投标人上述弄虚作假行为报省级交通运输主管部门及</w:t>
      </w:r>
      <w:r>
        <w:rPr>
          <w:rFonts w:hint="eastAsia"/>
          <w:sz w:val="24"/>
        </w:rPr>
        <w:t>公共资源交易监督管理部门</w:t>
      </w:r>
      <w:r>
        <w:rPr>
          <w:sz w:val="24"/>
        </w:rPr>
        <w:t>。</w:t>
      </w:r>
    </w:p>
    <w:p>
      <w:pPr>
        <w:keepNext/>
        <w:keepLines/>
        <w:spacing w:beforeLines="100" w:afterLines="100"/>
        <w:ind w:firstLine="0" w:firstLineChars="0"/>
        <w:outlineLvl w:val="2"/>
        <w:rPr>
          <w:rFonts w:eastAsia="黑体"/>
          <w:bCs/>
          <w:sz w:val="24"/>
          <w:szCs w:val="32"/>
        </w:rPr>
      </w:pPr>
      <w:bookmarkStart w:id="244" w:name="_Toc116662735"/>
      <w:bookmarkStart w:id="245" w:name="_Toc138689371"/>
      <w:r>
        <w:rPr>
          <w:rFonts w:eastAsia="黑体"/>
          <w:bCs/>
          <w:sz w:val="24"/>
          <w:szCs w:val="32"/>
        </w:rPr>
        <w:t>3.6备选投标方案</w:t>
      </w:r>
      <w:bookmarkEnd w:id="244"/>
      <w:bookmarkEnd w:id="245"/>
    </w:p>
    <w:p>
      <w:pPr>
        <w:spacing w:line="360" w:lineRule="auto"/>
        <w:ind w:firstLine="480"/>
        <w:rPr>
          <w:sz w:val="24"/>
        </w:rPr>
      </w:pPr>
      <w:r>
        <w:rPr>
          <w:sz w:val="24"/>
        </w:rPr>
        <w:t>3.6.1除投标人须知前附表规定允许外，投标人不得递交备选投标方案，否则其投标将被否决。</w:t>
      </w:r>
    </w:p>
    <w:p>
      <w:pPr>
        <w:spacing w:line="360" w:lineRule="auto"/>
        <w:ind w:firstLine="480"/>
        <w:rPr>
          <w:sz w:val="24"/>
        </w:rPr>
      </w:pPr>
      <w:r>
        <w:rPr>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rPr>
          <w:sz w:val="24"/>
        </w:rPr>
      </w:pPr>
      <w:r>
        <w:rPr>
          <w:sz w:val="24"/>
        </w:rPr>
        <w:t>3.6.3 投标人提供两个或两个以上投标报价，或在投标文件中提供一个报价，但同时提供两个或两个以上施工组织设计的，视为提供备选方案。</w:t>
      </w:r>
    </w:p>
    <w:p>
      <w:pPr>
        <w:keepNext/>
        <w:keepLines/>
        <w:spacing w:beforeLines="100" w:afterLines="100"/>
        <w:ind w:firstLine="0" w:firstLineChars="0"/>
        <w:outlineLvl w:val="2"/>
        <w:rPr>
          <w:rFonts w:eastAsia="黑体"/>
          <w:bCs/>
          <w:sz w:val="24"/>
          <w:szCs w:val="32"/>
        </w:rPr>
      </w:pPr>
      <w:bookmarkStart w:id="246" w:name="_Toc138689372"/>
      <w:bookmarkStart w:id="247" w:name="_Toc14201232"/>
      <w:bookmarkStart w:id="248" w:name="_Toc652"/>
      <w:bookmarkStart w:id="249" w:name="_Toc26656963"/>
      <w:bookmarkStart w:id="250" w:name="_Toc116662736"/>
      <w:bookmarkStart w:id="251" w:name="_Toc5031"/>
      <w:r>
        <w:rPr>
          <w:rFonts w:eastAsia="黑体"/>
          <w:bCs/>
          <w:sz w:val="24"/>
          <w:szCs w:val="32"/>
        </w:rPr>
        <w:t>3.7投标文件的编制</w:t>
      </w:r>
      <w:bookmarkEnd w:id="246"/>
      <w:bookmarkEnd w:id="247"/>
      <w:bookmarkEnd w:id="248"/>
      <w:bookmarkEnd w:id="249"/>
      <w:bookmarkEnd w:id="250"/>
      <w:bookmarkEnd w:id="251"/>
    </w:p>
    <w:p>
      <w:pPr>
        <w:spacing w:line="360" w:lineRule="auto"/>
        <w:ind w:firstLine="480"/>
        <w:rPr>
          <w:sz w:val="24"/>
        </w:rPr>
      </w:pPr>
      <w:r>
        <w:rPr>
          <w:sz w:val="24"/>
        </w:rPr>
        <w:t>3.7.1投标文件应</w:t>
      </w:r>
      <w:r>
        <w:rPr>
          <w:rFonts w:hint="eastAsia"/>
          <w:sz w:val="24"/>
        </w:rPr>
        <w:t>按照</w:t>
      </w:r>
      <w:r>
        <w:rPr>
          <w:sz w:val="24"/>
        </w:rPr>
        <w:t>第九</w:t>
      </w:r>
      <w:r>
        <w:rPr>
          <w:rFonts w:hint="eastAsia" w:ascii="宋体" w:hAnsi="宋体" w:cs="宋体"/>
          <w:sz w:val="24"/>
        </w:rPr>
        <w:t>章“投标文件格式”进行编写，如有必要，可以增加附页，作为投标文件的组成部分。其中，投标函在满足招标文件实质性要求的基础上，可以提出比招标文件</w:t>
      </w:r>
      <w:r>
        <w:rPr>
          <w:sz w:val="24"/>
        </w:rPr>
        <w:t>要求更有利于招标人的承诺。</w:t>
      </w:r>
    </w:p>
    <w:p>
      <w:pPr>
        <w:spacing w:line="360" w:lineRule="auto"/>
        <w:ind w:firstLine="480"/>
        <w:rPr>
          <w:sz w:val="24"/>
        </w:rPr>
      </w:pPr>
      <w:r>
        <w:rPr>
          <w:sz w:val="24"/>
        </w:rPr>
        <w:t>3.7.2 投标文件应当对招标文件有关工期、投标有效期、质量要求、安全目标、技术标准和要求、招标范围等实质性内容作出响应。</w:t>
      </w:r>
    </w:p>
    <w:p>
      <w:pPr>
        <w:spacing w:line="360" w:lineRule="auto"/>
        <w:ind w:firstLine="480"/>
        <w:rPr>
          <w:sz w:val="24"/>
        </w:rPr>
      </w:pPr>
      <w:r>
        <w:rPr>
          <w:sz w:val="24"/>
        </w:rPr>
        <w:t>3.7.3投标文件的制作应满足以下规定：</w:t>
      </w:r>
    </w:p>
    <w:p>
      <w:pPr>
        <w:spacing w:line="360" w:lineRule="auto"/>
        <w:ind w:firstLine="480"/>
        <w:rPr>
          <w:iCs/>
          <w:sz w:val="24"/>
        </w:rPr>
      </w:pPr>
      <w:r>
        <w:rPr>
          <w:sz w:val="24"/>
        </w:rPr>
        <w:t>（1）</w:t>
      </w:r>
      <w:r>
        <w:rPr>
          <w:rFonts w:hint="eastAsia" w:ascii="宋体" w:hAnsi="宋体" w:cs="宋体"/>
          <w:sz w:val="24"/>
        </w:rPr>
        <w:t>投标文件由投标人使用电子交易系统提供的“投标文件制作工具”制作生成。“投标文件制作工具”可以通过电子交易系统中下载</w:t>
      </w:r>
      <w:r>
        <w:rPr>
          <w:rFonts w:hint="eastAsia" w:ascii="宋体" w:hAnsi="宋体" w:cs="宋体"/>
          <w:iCs/>
          <w:sz w:val="24"/>
        </w:rPr>
        <w:t>。投标人应当在互联网络通畅状态下</w:t>
      </w:r>
      <w:r>
        <w:rPr>
          <w:rFonts w:hint="eastAsia" w:ascii="宋体" w:hAnsi="宋体" w:cs="宋体"/>
          <w:sz w:val="24"/>
        </w:rPr>
        <w:t>启用</w:t>
      </w:r>
      <w:r>
        <w:rPr>
          <w:rFonts w:hint="eastAsia" w:ascii="宋体" w:hAnsi="宋体" w:cs="宋体"/>
          <w:iCs/>
          <w:sz w:val="24"/>
        </w:rPr>
        <w:t>最新版投标文件制作工具制作投标文件</w:t>
      </w:r>
      <w:r>
        <w:rPr>
          <w:iCs/>
          <w:sz w:val="24"/>
        </w:rPr>
        <w:t>。</w:t>
      </w:r>
    </w:p>
    <w:p>
      <w:pPr>
        <w:spacing w:line="360" w:lineRule="auto"/>
        <w:ind w:firstLine="480"/>
        <w:rPr>
          <w:snapToGrid w:val="0"/>
          <w:sz w:val="24"/>
          <w:shd w:val="clear" w:color="auto" w:fill="FFFFFF"/>
        </w:rPr>
      </w:pPr>
      <w:r>
        <w:rPr>
          <w:snapToGrid w:val="0"/>
          <w:sz w:val="24"/>
          <w:shd w:val="clear" w:color="auto" w:fill="FFFFFF"/>
        </w:rPr>
        <w:t>（2）在第九章</w:t>
      </w:r>
      <w:r>
        <w:rPr>
          <w:rFonts w:hint="eastAsia" w:ascii="宋体" w:hAnsi="宋体" w:cs="宋体"/>
          <w:snapToGrid w:val="0"/>
          <w:sz w:val="24"/>
          <w:shd w:val="clear" w:color="auto" w:fill="FFFFFF"/>
        </w:rPr>
        <w:t>“投标文件格式”中要求盖单位章和（或）签字处，投标人应加盖投标人单位电子印章和（或）法定代表人的个人电子印章/电子签名章。联合体投标的，除联合体协议书外，投标文件由联合体牵头人按照上述规定加盖联合体牵头人单位电子印章和（或）法定</w:t>
      </w:r>
      <w:r>
        <w:rPr>
          <w:snapToGrid w:val="0"/>
          <w:sz w:val="24"/>
          <w:shd w:val="clear" w:color="auto" w:fill="FFFFFF"/>
        </w:rPr>
        <w:t>代表人的个人电子印章/电子签名章。</w:t>
      </w:r>
    </w:p>
    <w:p>
      <w:pPr>
        <w:spacing w:line="360" w:lineRule="auto"/>
        <w:ind w:firstLine="480"/>
        <w:rPr>
          <w:iCs/>
          <w:sz w:val="24"/>
        </w:rPr>
      </w:pPr>
      <w:r>
        <w:rPr>
          <w:iCs/>
          <w:sz w:val="24"/>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pPr>
        <w:spacing w:line="360" w:lineRule="auto"/>
        <w:ind w:firstLine="480"/>
        <w:rPr>
          <w:sz w:val="24"/>
        </w:rPr>
      </w:pPr>
      <w:r>
        <w:rPr>
          <w:rFonts w:hint="eastAsia" w:ascii="宋体" w:hAnsi="宋体" w:cs="宋体"/>
          <w:sz w:val="24"/>
        </w:rPr>
        <w:t>（4）</w:t>
      </w:r>
      <w:r>
        <w:rPr>
          <w:rFonts w:hint="eastAsia"/>
          <w:sz w:val="24"/>
        </w:rPr>
        <w:t>投标文件中的证明材料接受扫描件（包括电子证照等电子件）形式</w:t>
      </w:r>
      <w:r>
        <w:rPr>
          <w:rFonts w:ascii="宋体" w:hAnsi="宋体" w:cs="宋体"/>
          <w:sz w:val="24"/>
        </w:rPr>
        <w:t>。</w:t>
      </w:r>
    </w:p>
    <w:p>
      <w:pPr>
        <w:spacing w:line="360" w:lineRule="auto"/>
        <w:ind w:firstLine="480"/>
        <w:rPr>
          <w:sz w:val="24"/>
        </w:rPr>
      </w:pPr>
      <w:r>
        <w:rPr>
          <w:sz w:val="24"/>
        </w:rPr>
        <w:t>（</w:t>
      </w:r>
      <w:r>
        <w:rPr>
          <w:rFonts w:hint="eastAsia"/>
          <w:sz w:val="24"/>
        </w:rPr>
        <w:t>5</w:t>
      </w:r>
      <w:r>
        <w:rPr>
          <w:sz w:val="24"/>
        </w:rPr>
        <w:t>）投标文件制作的具体方法见</w:t>
      </w:r>
      <w:r>
        <w:rPr>
          <w:rFonts w:hint="eastAsia"/>
          <w:sz w:val="24"/>
        </w:rPr>
        <w:t>“</w:t>
      </w:r>
      <w:r>
        <w:rPr>
          <w:sz w:val="24"/>
        </w:rPr>
        <w:t>投标文件制作工具</w:t>
      </w:r>
      <w:r>
        <w:rPr>
          <w:rFonts w:hint="eastAsia"/>
          <w:sz w:val="24"/>
        </w:rPr>
        <w:t>”</w:t>
      </w:r>
      <w:r>
        <w:rPr>
          <w:sz w:val="24"/>
        </w:rPr>
        <w:t>中的帮助文档。</w:t>
      </w:r>
    </w:p>
    <w:p>
      <w:pPr>
        <w:spacing w:line="360" w:lineRule="auto"/>
        <w:ind w:firstLine="480"/>
        <w:rPr>
          <w:rFonts w:ascii="宋体" w:hAnsi="宋体" w:cs="宋体"/>
          <w:sz w:val="24"/>
        </w:rPr>
      </w:pPr>
      <w:bookmarkStart w:id="252" w:name="_Toc16270"/>
      <w:bookmarkStart w:id="253" w:name="_Toc14201233"/>
      <w:bookmarkStart w:id="254" w:name="_Toc9387"/>
      <w:bookmarkStart w:id="255" w:name="_Toc9067723"/>
      <w:bookmarkStart w:id="256" w:name="_Toc5113"/>
      <w:r>
        <w:rPr>
          <w:snapToGrid w:val="0"/>
          <w:sz w:val="24"/>
          <w:shd w:val="clear" w:color="auto" w:fill="FFFFFF"/>
        </w:rPr>
        <w:t xml:space="preserve">3.7.4 </w:t>
      </w:r>
      <w:r>
        <w:rPr>
          <w:rFonts w:hint="eastAsia" w:ascii="宋体" w:hAnsi="宋体" w:cs="宋体"/>
          <w:snapToGrid w:val="0"/>
          <w:sz w:val="24"/>
          <w:shd w:val="clear" w:color="auto" w:fill="FFFFFF"/>
        </w:rPr>
        <w:t>“投标文件制作工具”生成加密投标文件时，同时生成非加密投标文件，作为加密投标文件无法解密、导入时的补救措施。非加密投标文件递交要求见投标人须知前附表。</w:t>
      </w:r>
    </w:p>
    <w:p>
      <w:pPr>
        <w:spacing w:line="360" w:lineRule="auto"/>
        <w:ind w:firstLine="480"/>
        <w:rPr>
          <w:sz w:val="24"/>
        </w:rPr>
      </w:pPr>
      <w:r>
        <w:rPr>
          <w:sz w:val="24"/>
        </w:rPr>
        <w:t>3.7.5</w:t>
      </w:r>
      <w:r>
        <w:rPr>
          <w:snapToGrid w:val="0"/>
          <w:sz w:val="24"/>
        </w:rPr>
        <w:t>因投标人自身原因而导致投标文件无法导入电子交易系统电子开标、评标系统，该投标视为无效投标，投标人自行承担由此导致的全部责任。</w:t>
      </w:r>
    </w:p>
    <w:p>
      <w:pPr>
        <w:keepNext/>
        <w:keepLines/>
        <w:spacing w:beforeLines="100" w:afterLines="100"/>
        <w:ind w:firstLine="0" w:firstLineChars="0"/>
        <w:jc w:val="left"/>
        <w:outlineLvl w:val="1"/>
        <w:rPr>
          <w:rFonts w:eastAsia="黑体"/>
          <w:bCs/>
          <w:sz w:val="32"/>
          <w:szCs w:val="32"/>
        </w:rPr>
      </w:pPr>
      <w:bookmarkStart w:id="257" w:name="_Toc138689373"/>
      <w:bookmarkStart w:id="258" w:name="_Toc20845"/>
      <w:r>
        <w:rPr>
          <w:rFonts w:eastAsia="黑体"/>
          <w:bCs/>
          <w:sz w:val="32"/>
          <w:szCs w:val="32"/>
        </w:rPr>
        <w:t>4. 投标</w:t>
      </w:r>
      <w:bookmarkEnd w:id="252"/>
      <w:bookmarkEnd w:id="253"/>
      <w:bookmarkEnd w:id="254"/>
      <w:bookmarkEnd w:id="255"/>
      <w:bookmarkEnd w:id="256"/>
      <w:bookmarkEnd w:id="257"/>
      <w:bookmarkEnd w:id="258"/>
    </w:p>
    <w:p>
      <w:pPr>
        <w:keepNext/>
        <w:keepLines/>
        <w:spacing w:beforeLines="100" w:afterLines="100"/>
        <w:ind w:firstLine="0" w:firstLineChars="0"/>
        <w:outlineLvl w:val="2"/>
        <w:rPr>
          <w:rFonts w:eastAsia="黑体"/>
          <w:bCs/>
          <w:sz w:val="24"/>
          <w:szCs w:val="32"/>
        </w:rPr>
      </w:pPr>
      <w:bookmarkStart w:id="259" w:name="_Toc30248"/>
      <w:bookmarkStart w:id="260" w:name="_Toc26656965"/>
      <w:bookmarkStart w:id="261" w:name="_Toc25783"/>
      <w:bookmarkStart w:id="262" w:name="_Toc138689374"/>
      <w:bookmarkStart w:id="263" w:name="_Toc14201234"/>
      <w:bookmarkStart w:id="264" w:name="_Toc116662738"/>
      <w:r>
        <w:rPr>
          <w:rFonts w:eastAsia="黑体"/>
          <w:bCs/>
          <w:sz w:val="24"/>
          <w:szCs w:val="32"/>
        </w:rPr>
        <w:t>4.1投标文件的加密（密封）和标记</w:t>
      </w:r>
      <w:bookmarkEnd w:id="259"/>
      <w:bookmarkEnd w:id="260"/>
      <w:bookmarkEnd w:id="261"/>
      <w:bookmarkEnd w:id="262"/>
      <w:bookmarkEnd w:id="263"/>
      <w:bookmarkEnd w:id="264"/>
    </w:p>
    <w:p>
      <w:pPr>
        <w:spacing w:line="360" w:lineRule="auto"/>
        <w:ind w:firstLine="480"/>
        <w:rPr>
          <w:sz w:val="24"/>
        </w:rPr>
      </w:pPr>
      <w:r>
        <w:rPr>
          <w:sz w:val="24"/>
        </w:rPr>
        <w:t>4.1.1 投标文件应按照本章第3.7.3项要求制作并加密，未</w:t>
      </w:r>
      <w:r>
        <w:rPr>
          <w:rFonts w:hint="eastAsia"/>
          <w:sz w:val="24"/>
        </w:rPr>
        <w:t>按照</w:t>
      </w:r>
      <w:r>
        <w:rPr>
          <w:sz w:val="24"/>
        </w:rPr>
        <w:t>要求加密的投标文件将被拒绝接收。</w:t>
      </w:r>
    </w:p>
    <w:p>
      <w:pPr>
        <w:spacing w:line="360" w:lineRule="auto"/>
        <w:ind w:firstLine="480"/>
        <w:rPr>
          <w:sz w:val="24"/>
        </w:rPr>
      </w:pPr>
      <w:r>
        <w:rPr>
          <w:sz w:val="24"/>
        </w:rPr>
        <w:t>4.1.2 非加密投标文件密封和标记要求见投标人须知前附表。非加密的投标文件应在封口处加盖投标人单位章或由投标人的法定代表人或其授权的代理人签字，未</w:t>
      </w:r>
      <w:r>
        <w:rPr>
          <w:rFonts w:hint="eastAsia"/>
          <w:sz w:val="24"/>
        </w:rPr>
        <w:t>按照</w:t>
      </w:r>
      <w:r>
        <w:rPr>
          <w:sz w:val="24"/>
        </w:rPr>
        <w:t>规定封装或加写标记，招标人将不承担投标文件未被开启或提前开启的责任。</w:t>
      </w:r>
    </w:p>
    <w:p>
      <w:pPr>
        <w:keepNext/>
        <w:keepLines/>
        <w:spacing w:beforeLines="100" w:afterLines="100"/>
        <w:ind w:firstLine="0" w:firstLineChars="0"/>
        <w:outlineLvl w:val="2"/>
        <w:rPr>
          <w:rFonts w:eastAsia="黑体"/>
          <w:bCs/>
          <w:sz w:val="24"/>
          <w:szCs w:val="32"/>
        </w:rPr>
      </w:pPr>
      <w:bookmarkStart w:id="265" w:name="_Toc26656966"/>
      <w:bookmarkStart w:id="266" w:name="_Toc23577"/>
      <w:bookmarkStart w:id="267" w:name="_Toc14201235"/>
      <w:bookmarkStart w:id="268" w:name="_Toc116662739"/>
      <w:bookmarkStart w:id="269" w:name="_Toc138689375"/>
      <w:bookmarkStart w:id="270" w:name="_Toc11792"/>
      <w:r>
        <w:rPr>
          <w:rFonts w:eastAsia="黑体"/>
          <w:bCs/>
          <w:sz w:val="24"/>
          <w:szCs w:val="32"/>
        </w:rPr>
        <w:t>4.2 投标文件的递交</w:t>
      </w:r>
      <w:bookmarkEnd w:id="265"/>
      <w:bookmarkEnd w:id="266"/>
      <w:bookmarkEnd w:id="267"/>
      <w:bookmarkEnd w:id="268"/>
      <w:bookmarkEnd w:id="269"/>
      <w:bookmarkEnd w:id="270"/>
    </w:p>
    <w:p>
      <w:pPr>
        <w:spacing w:line="360" w:lineRule="auto"/>
        <w:ind w:firstLine="480"/>
        <w:rPr>
          <w:sz w:val="24"/>
        </w:rPr>
      </w:pPr>
      <w:bookmarkStart w:id="271" w:name="_Toc26656967"/>
      <w:bookmarkStart w:id="272" w:name="_Toc14201236"/>
      <w:r>
        <w:rPr>
          <w:sz w:val="24"/>
        </w:rPr>
        <w:t>4.2.1 投标人应当在第一章</w:t>
      </w:r>
      <w:r>
        <w:rPr>
          <w:rFonts w:hint="eastAsia" w:ascii="宋体" w:hAnsi="宋体" w:cs="宋体"/>
          <w:sz w:val="24"/>
        </w:rPr>
        <w:t>“招标公告”</w:t>
      </w:r>
      <w:r>
        <w:rPr>
          <w:sz w:val="24"/>
        </w:rPr>
        <w:t>规定的投标截止时间前，将加密投标文件在电子交易系统上传。</w:t>
      </w:r>
    </w:p>
    <w:p>
      <w:pPr>
        <w:spacing w:line="360" w:lineRule="auto"/>
        <w:ind w:firstLine="480"/>
        <w:rPr>
          <w:sz w:val="24"/>
        </w:rPr>
      </w:pPr>
      <w:r>
        <w:rPr>
          <w:sz w:val="24"/>
        </w:rPr>
        <w:t>4.2.2 投标人递交非加密投标文件的地点：见投标人须知前附表。</w:t>
      </w:r>
    </w:p>
    <w:p>
      <w:pPr>
        <w:spacing w:line="360" w:lineRule="auto"/>
        <w:ind w:firstLine="480"/>
        <w:rPr>
          <w:sz w:val="24"/>
        </w:rPr>
      </w:pPr>
      <w:r>
        <w:rPr>
          <w:sz w:val="24"/>
        </w:rPr>
        <w:t>4.2.3 除投标人须知前附表另有规定外，投标人所递交的投标文件不予退还。</w:t>
      </w:r>
    </w:p>
    <w:p>
      <w:pPr>
        <w:spacing w:line="360" w:lineRule="auto"/>
        <w:ind w:firstLine="480"/>
        <w:rPr>
          <w:sz w:val="24"/>
        </w:rPr>
      </w:pPr>
      <w:r>
        <w:rPr>
          <w:sz w:val="24"/>
        </w:rPr>
        <w:t>4.2.4 投标人应当在投标截止时间前完成投标文件的传输递交（以接收到电子签收凭证为准），并可以补充、修改或者撤回投标文件。投标截止时间前未完成投标文件传输的，视为撤回投标文件。未</w:t>
      </w:r>
      <w:r>
        <w:rPr>
          <w:rFonts w:hint="eastAsia"/>
          <w:sz w:val="24"/>
        </w:rPr>
        <w:t>按照</w:t>
      </w:r>
      <w:r>
        <w:rPr>
          <w:sz w:val="24"/>
        </w:rPr>
        <w:t>规定加密或投标截止时间后送达的投标文件，电子交易系统应当拒收。</w:t>
      </w:r>
    </w:p>
    <w:p>
      <w:pPr>
        <w:spacing w:line="360" w:lineRule="auto"/>
        <w:ind w:firstLine="480"/>
        <w:rPr>
          <w:sz w:val="24"/>
        </w:rPr>
      </w:pPr>
      <w:r>
        <w:rPr>
          <w:sz w:val="24"/>
        </w:rPr>
        <w:t>4.2.5如投标人须知前附表允许递交非加密投标文件，投标人逾期送达的或者未送达指定地点的非加密投标文件，招标人不予接收，但不影响其已</w:t>
      </w:r>
      <w:r>
        <w:rPr>
          <w:rFonts w:hint="eastAsia"/>
          <w:sz w:val="24"/>
        </w:rPr>
        <w:t>按照</w:t>
      </w:r>
      <w:r>
        <w:rPr>
          <w:sz w:val="24"/>
        </w:rPr>
        <w:t>招标文件要求从电子交易系统递交的加密投标文件的有效性。未从电子交易系统递交加密投标文件的，投标人递交的非加密投标文件将被视为无效。</w:t>
      </w:r>
    </w:p>
    <w:p>
      <w:pPr>
        <w:spacing w:line="360" w:lineRule="auto"/>
        <w:ind w:firstLine="480"/>
        <w:rPr>
          <w:sz w:val="24"/>
        </w:rPr>
      </w:pPr>
      <w:r>
        <w:rPr>
          <w:sz w:val="24"/>
        </w:rPr>
        <w:t>4.2.6 投标人在本章第5.2款规定的解密开始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pPr>
        <w:keepNext/>
        <w:keepLines/>
        <w:spacing w:beforeLines="100" w:afterLines="100"/>
        <w:ind w:firstLine="0" w:firstLineChars="0"/>
        <w:outlineLvl w:val="2"/>
        <w:rPr>
          <w:rFonts w:eastAsia="黑体"/>
          <w:bCs/>
          <w:sz w:val="24"/>
          <w:szCs w:val="32"/>
        </w:rPr>
      </w:pPr>
      <w:bookmarkStart w:id="273" w:name="_Toc138689376"/>
      <w:bookmarkStart w:id="274" w:name="_Toc21818"/>
      <w:bookmarkStart w:id="275" w:name="_Toc19773"/>
      <w:bookmarkStart w:id="276" w:name="_Toc116662740"/>
      <w:r>
        <w:rPr>
          <w:rFonts w:eastAsia="黑体"/>
          <w:bCs/>
          <w:sz w:val="24"/>
          <w:szCs w:val="32"/>
        </w:rPr>
        <w:t>4.3 投标文件的修改与撤回</w:t>
      </w:r>
      <w:bookmarkEnd w:id="271"/>
      <w:bookmarkEnd w:id="272"/>
      <w:bookmarkEnd w:id="273"/>
      <w:bookmarkEnd w:id="274"/>
      <w:bookmarkEnd w:id="275"/>
      <w:bookmarkEnd w:id="276"/>
    </w:p>
    <w:p>
      <w:pPr>
        <w:spacing w:line="360" w:lineRule="auto"/>
        <w:ind w:firstLine="480"/>
        <w:rPr>
          <w:sz w:val="24"/>
        </w:rPr>
      </w:pPr>
      <w:r>
        <w:rPr>
          <w:rFonts w:hint="eastAsia"/>
          <w:sz w:val="24"/>
        </w:rPr>
        <w:t>4.3.1</w:t>
      </w:r>
      <w:r>
        <w:rPr>
          <w:sz w:val="24"/>
        </w:rPr>
        <w:t>在</w:t>
      </w:r>
      <w:r>
        <w:rPr>
          <w:rFonts w:hint="eastAsia"/>
          <w:sz w:val="24"/>
        </w:rPr>
        <w:t>第一章“招标公告”规定</w:t>
      </w:r>
      <w:r>
        <w:rPr>
          <w:sz w:val="24"/>
        </w:rPr>
        <w:t>的投标截止时间前，投标人可以修改或撤回已递交的投标文件。投标人对加密的投标文件进行撤回的，应在电子交易系统直接进行撤回操作；投标人对加密的投标文件进行修改的，应在投标截止时间前完成上传。投标人修改投标文件的，应使用</w:t>
      </w:r>
      <w:r>
        <w:rPr>
          <w:rFonts w:hint="eastAsia" w:ascii="宋体" w:hAnsi="宋体" w:cs="宋体"/>
          <w:sz w:val="24"/>
        </w:rPr>
        <w:t>“投标文件制作工具”</w:t>
      </w:r>
      <w:r>
        <w:rPr>
          <w:sz w:val="24"/>
        </w:rPr>
        <w:t>制作成完整的投标文件，并按照本章第3条、第4条规定进行编制、加密和递交。</w:t>
      </w:r>
    </w:p>
    <w:p>
      <w:pPr>
        <w:spacing w:line="360" w:lineRule="auto"/>
        <w:ind w:firstLine="480"/>
        <w:rPr>
          <w:sz w:val="24"/>
        </w:rPr>
      </w:pPr>
      <w:r>
        <w:rPr>
          <w:rFonts w:hint="eastAsia"/>
          <w:sz w:val="24"/>
        </w:rPr>
        <w:t>4.3.2 投标人修改或撤回已递交的非加密投标文件的，应当以书面形式通知招标人。书面通知应由法定代表人（或代理人）签字或盖单位章。招标人收到书面通知后，向投标人出具签收凭证。</w:t>
      </w:r>
    </w:p>
    <w:p>
      <w:pPr>
        <w:keepNext/>
        <w:keepLines/>
        <w:spacing w:beforeLines="100" w:afterLines="100"/>
        <w:ind w:firstLine="0" w:firstLineChars="0"/>
        <w:jc w:val="left"/>
        <w:outlineLvl w:val="1"/>
        <w:rPr>
          <w:rFonts w:eastAsia="黑体"/>
          <w:bCs/>
          <w:sz w:val="32"/>
          <w:szCs w:val="32"/>
        </w:rPr>
      </w:pPr>
      <w:bookmarkStart w:id="277" w:name="_Toc9067724"/>
      <w:bookmarkStart w:id="278" w:name="_Toc1619"/>
      <w:bookmarkStart w:id="279" w:name="_Toc1090"/>
      <w:bookmarkStart w:id="280" w:name="_Toc31335"/>
      <w:bookmarkStart w:id="281" w:name="_Toc13374"/>
      <w:bookmarkStart w:id="282" w:name="_Toc138689377"/>
      <w:bookmarkStart w:id="283" w:name="_Toc14201237"/>
      <w:r>
        <w:rPr>
          <w:rFonts w:eastAsia="黑体"/>
          <w:bCs/>
          <w:sz w:val="32"/>
          <w:szCs w:val="32"/>
        </w:rPr>
        <w:t>5. 开标</w:t>
      </w:r>
      <w:bookmarkEnd w:id="277"/>
      <w:bookmarkEnd w:id="278"/>
      <w:bookmarkEnd w:id="279"/>
      <w:bookmarkEnd w:id="280"/>
      <w:bookmarkEnd w:id="281"/>
      <w:bookmarkEnd w:id="282"/>
      <w:bookmarkEnd w:id="283"/>
    </w:p>
    <w:p>
      <w:pPr>
        <w:keepNext/>
        <w:keepLines/>
        <w:spacing w:beforeLines="100" w:afterLines="100"/>
        <w:ind w:firstLine="0" w:firstLineChars="0"/>
        <w:outlineLvl w:val="2"/>
        <w:rPr>
          <w:rFonts w:eastAsia="黑体"/>
          <w:bCs/>
          <w:sz w:val="24"/>
          <w:szCs w:val="32"/>
        </w:rPr>
      </w:pPr>
      <w:bookmarkStart w:id="284" w:name="_Toc14201238"/>
      <w:bookmarkStart w:id="285" w:name="_Toc138689378"/>
      <w:bookmarkStart w:id="286" w:name="_Toc116662742"/>
      <w:bookmarkStart w:id="287" w:name="_Toc20239"/>
      <w:bookmarkStart w:id="288" w:name="_Toc26656969"/>
      <w:bookmarkStart w:id="289" w:name="_Toc25826"/>
      <w:r>
        <w:rPr>
          <w:rFonts w:eastAsia="黑体"/>
          <w:bCs/>
          <w:sz w:val="24"/>
          <w:szCs w:val="32"/>
        </w:rPr>
        <w:t>5.1 开标时间和地点</w:t>
      </w:r>
      <w:bookmarkEnd w:id="284"/>
      <w:bookmarkEnd w:id="285"/>
      <w:bookmarkEnd w:id="286"/>
      <w:bookmarkEnd w:id="287"/>
      <w:bookmarkEnd w:id="288"/>
      <w:bookmarkEnd w:id="289"/>
    </w:p>
    <w:p>
      <w:pPr>
        <w:spacing w:line="360" w:lineRule="auto"/>
        <w:ind w:firstLine="480"/>
        <w:rPr>
          <w:sz w:val="24"/>
        </w:rPr>
      </w:pPr>
      <w:bookmarkStart w:id="290" w:name="_Toc14201239"/>
      <w:bookmarkStart w:id="291" w:name="_Toc26656970"/>
      <w:r>
        <w:rPr>
          <w:sz w:val="24"/>
        </w:rPr>
        <w:t>招标人在</w:t>
      </w:r>
      <w:r>
        <w:rPr>
          <w:rFonts w:hint="eastAsia"/>
          <w:sz w:val="24"/>
        </w:rPr>
        <w:t>投标人须知前附表规定的开标时间和地点</w:t>
      </w:r>
      <w:r>
        <w:rPr>
          <w:sz w:val="24"/>
        </w:rPr>
        <w:t>通过电子交易系统开标，所有投标人的法定代表人或其委托代理人应当准时参加。</w:t>
      </w:r>
    </w:p>
    <w:p>
      <w:pPr>
        <w:spacing w:line="360" w:lineRule="auto"/>
        <w:ind w:firstLine="480"/>
        <w:rPr>
          <w:bCs/>
          <w:snapToGrid w:val="0"/>
          <w:sz w:val="24"/>
        </w:rPr>
      </w:pPr>
      <w:r>
        <w:rPr>
          <w:sz w:val="24"/>
        </w:rPr>
        <w:t>投标人若未派法定代表人或其委托代理人出席开标活动，视为该投标人默认开标结果</w:t>
      </w:r>
      <w:r>
        <w:rPr>
          <w:bCs/>
          <w:snapToGrid w:val="0"/>
          <w:sz w:val="24"/>
        </w:rPr>
        <w:t>。</w:t>
      </w:r>
    </w:p>
    <w:p>
      <w:pPr>
        <w:keepNext/>
        <w:keepLines/>
        <w:spacing w:beforeLines="100" w:afterLines="100"/>
        <w:ind w:firstLine="0" w:firstLineChars="0"/>
        <w:outlineLvl w:val="2"/>
        <w:rPr>
          <w:rFonts w:eastAsia="黑体"/>
          <w:bCs/>
          <w:sz w:val="24"/>
          <w:szCs w:val="32"/>
        </w:rPr>
      </w:pPr>
      <w:bookmarkStart w:id="292" w:name="_Toc30410"/>
      <w:bookmarkStart w:id="293" w:name="_Toc138689379"/>
      <w:bookmarkStart w:id="294" w:name="_Toc13402"/>
      <w:bookmarkStart w:id="295" w:name="_Toc116662743"/>
      <w:r>
        <w:rPr>
          <w:rFonts w:eastAsia="黑体"/>
          <w:bCs/>
          <w:sz w:val="24"/>
          <w:szCs w:val="32"/>
        </w:rPr>
        <w:t>5.2</w:t>
      </w:r>
      <w:r>
        <w:rPr>
          <w:rFonts w:hint="eastAsia" w:eastAsia="黑体"/>
          <w:bCs/>
          <w:sz w:val="24"/>
          <w:szCs w:val="32"/>
        </w:rPr>
        <w:t xml:space="preserve"> </w:t>
      </w:r>
      <w:r>
        <w:rPr>
          <w:rFonts w:eastAsia="黑体"/>
          <w:bCs/>
          <w:sz w:val="24"/>
          <w:szCs w:val="32"/>
        </w:rPr>
        <w:t>开标程序</w:t>
      </w:r>
      <w:bookmarkEnd w:id="290"/>
      <w:bookmarkEnd w:id="291"/>
      <w:bookmarkEnd w:id="292"/>
      <w:bookmarkEnd w:id="293"/>
      <w:bookmarkEnd w:id="294"/>
      <w:bookmarkEnd w:id="295"/>
    </w:p>
    <w:p>
      <w:pPr>
        <w:spacing w:line="360" w:lineRule="auto"/>
        <w:ind w:firstLine="480"/>
        <w:rPr>
          <w:sz w:val="24"/>
        </w:rPr>
      </w:pPr>
      <w:r>
        <w:rPr>
          <w:sz w:val="24"/>
        </w:rPr>
        <w:t>5.2.1除投标人须知前附表另有规定外，主持人</w:t>
      </w:r>
      <w:r>
        <w:rPr>
          <w:rFonts w:hint="eastAsia"/>
          <w:sz w:val="24"/>
        </w:rPr>
        <w:t>按照</w:t>
      </w:r>
      <w:r>
        <w:rPr>
          <w:sz w:val="24"/>
        </w:rPr>
        <w:t xml:space="preserve">下列程序进行开标： </w:t>
      </w:r>
    </w:p>
    <w:p>
      <w:pPr>
        <w:spacing w:line="360" w:lineRule="auto"/>
        <w:ind w:firstLine="480"/>
        <w:rPr>
          <w:color w:val="auto"/>
          <w:sz w:val="24"/>
        </w:rPr>
      </w:pPr>
      <w:r>
        <w:rPr>
          <w:sz w:val="24"/>
        </w:rPr>
        <w:t>（1）公布在投标截止时间前通过电子交易系统完成投标文件递交的投标人名称</w:t>
      </w:r>
      <w:r>
        <w:rPr>
          <w:color w:val="auto"/>
          <w:sz w:val="24"/>
        </w:rPr>
        <w:t>；</w:t>
      </w:r>
    </w:p>
    <w:p>
      <w:pPr>
        <w:spacing w:line="360" w:lineRule="auto"/>
        <w:ind w:firstLine="480"/>
        <w:rPr>
          <w:color w:val="auto"/>
          <w:sz w:val="24"/>
        </w:rPr>
      </w:pPr>
      <w:r>
        <w:rPr>
          <w:color w:val="auto"/>
          <w:sz w:val="24"/>
        </w:rPr>
        <w:t>（2）</w:t>
      </w:r>
      <w:r>
        <w:rPr>
          <w:rFonts w:hint="default"/>
          <w:color w:val="auto"/>
          <w:sz w:val="24"/>
        </w:rPr>
        <w:t>由投标人推选的代表检查非加密投标文件</w:t>
      </w:r>
      <w:r>
        <w:rPr>
          <w:rFonts w:hint="eastAsia"/>
          <w:color w:val="auto"/>
          <w:sz w:val="24"/>
          <w:lang w:val="en-US" w:eastAsia="zh-CN"/>
        </w:rPr>
        <w:t>的密封情况</w:t>
      </w:r>
      <w:r>
        <w:rPr>
          <w:rFonts w:hint="default"/>
          <w:color w:val="auto"/>
          <w:sz w:val="24"/>
        </w:rPr>
        <w:t>（如有）</w:t>
      </w:r>
      <w:r>
        <w:rPr>
          <w:color w:val="auto"/>
          <w:sz w:val="24"/>
        </w:rPr>
        <w:t xml:space="preserve">； </w:t>
      </w:r>
    </w:p>
    <w:p>
      <w:pPr>
        <w:spacing w:line="360" w:lineRule="auto"/>
        <w:ind w:firstLine="480"/>
        <w:rPr>
          <w:color w:val="auto"/>
          <w:sz w:val="24"/>
        </w:rPr>
      </w:pPr>
      <w:r>
        <w:rPr>
          <w:color w:val="auto"/>
          <w:sz w:val="24"/>
        </w:rPr>
        <w:t>（3）投标人在投标截止时间后在投标人须知前附表规定的解密时间内完成投标文件的解密工作；</w:t>
      </w:r>
    </w:p>
    <w:p>
      <w:pPr>
        <w:spacing w:line="360" w:lineRule="auto"/>
        <w:ind w:firstLine="480"/>
        <w:rPr>
          <w:color w:val="auto"/>
          <w:sz w:val="24"/>
        </w:rPr>
      </w:pPr>
      <w:r>
        <w:rPr>
          <w:color w:val="auto"/>
          <w:sz w:val="24"/>
        </w:rPr>
        <w:t>（4）</w:t>
      </w:r>
      <w:r>
        <w:rPr>
          <w:rFonts w:hint="default"/>
          <w:color w:val="auto"/>
          <w:sz w:val="24"/>
        </w:rPr>
        <w:t>招标人完成解密工作，导入并读取所有成功解密的投标文件</w:t>
      </w:r>
      <w:r>
        <w:rPr>
          <w:color w:val="auto"/>
          <w:sz w:val="24"/>
        </w:rPr>
        <w:t xml:space="preserve">； </w:t>
      </w:r>
    </w:p>
    <w:p>
      <w:pPr>
        <w:spacing w:line="360" w:lineRule="auto"/>
        <w:ind w:firstLine="480"/>
        <w:rPr>
          <w:sz w:val="24"/>
        </w:rPr>
      </w:pPr>
      <w:r>
        <w:rPr>
          <w:sz w:val="24"/>
        </w:rPr>
        <w:t>（5）对商务、技术文件进行开标，</w:t>
      </w:r>
      <w:r>
        <w:rPr>
          <w:rFonts w:hint="eastAsia"/>
          <w:sz w:val="24"/>
        </w:rPr>
        <w:t>按照</w:t>
      </w:r>
      <w:r>
        <w:rPr>
          <w:sz w:val="24"/>
        </w:rPr>
        <w:t>投标人须知前附表规定公布投标人名称、标段名称、质量目标、安全目标、工期及其他内容；报价文件在商务、技术文件评审结束前电子交易系统不读取；</w:t>
      </w:r>
    </w:p>
    <w:p>
      <w:pPr>
        <w:spacing w:line="360" w:lineRule="auto"/>
        <w:ind w:firstLine="480"/>
        <w:rPr>
          <w:sz w:val="24"/>
        </w:rPr>
      </w:pPr>
      <w:r>
        <w:rPr>
          <w:sz w:val="24"/>
        </w:rPr>
        <w:t>（6）商务、技术文件评审结束后，招标人对通过商务、技术文件评审的</w:t>
      </w:r>
      <w:r>
        <w:rPr>
          <w:rFonts w:hint="eastAsia" w:ascii="宋体" w:hAnsi="宋体" w:cs="宋体"/>
          <w:sz w:val="24"/>
        </w:rPr>
        <w:t>投标人报价文件进行开启并进行报价公布</w:t>
      </w:r>
      <w:r>
        <w:rPr>
          <w:sz w:val="24"/>
        </w:rPr>
        <w:t>，</w:t>
      </w:r>
      <w:r>
        <w:rPr>
          <w:rFonts w:hint="eastAsia"/>
          <w:sz w:val="24"/>
        </w:rPr>
        <w:t>按照</w:t>
      </w:r>
      <w:r>
        <w:rPr>
          <w:sz w:val="24"/>
        </w:rPr>
        <w:t>投标人须知前附表规定公布投标人名称、标段名称、投标报价、质量目标、工期及其他内容；未通过商务、技术文件评审的投标人报价文件电子交易系统不予读取。</w:t>
      </w:r>
    </w:p>
    <w:p>
      <w:pPr>
        <w:spacing w:line="360" w:lineRule="auto"/>
        <w:ind w:firstLine="480"/>
        <w:rPr>
          <w:sz w:val="24"/>
        </w:rPr>
      </w:pPr>
      <w:r>
        <w:rPr>
          <w:sz w:val="24"/>
        </w:rPr>
        <w:t>（7）开标结束。</w:t>
      </w:r>
    </w:p>
    <w:p>
      <w:pPr>
        <w:spacing w:line="360" w:lineRule="auto"/>
        <w:ind w:firstLine="480"/>
        <w:rPr>
          <w:bCs/>
          <w:sz w:val="24"/>
        </w:rPr>
      </w:pPr>
      <w:r>
        <w:rPr>
          <w:sz w:val="24"/>
        </w:rPr>
        <w:t>5.2.2若采用合理低价法或综合评分法，在投标文件的报价文件</w:t>
      </w:r>
      <w:r>
        <w:rPr>
          <w:rFonts w:hint="eastAsia"/>
          <w:sz w:val="24"/>
        </w:rPr>
        <w:t>报价公布</w:t>
      </w:r>
      <w:r>
        <w:rPr>
          <w:sz w:val="24"/>
        </w:rPr>
        <w:t>中，</w:t>
      </w:r>
      <w:r>
        <w:rPr>
          <w:rFonts w:hint="eastAsia"/>
          <w:sz w:val="24"/>
        </w:rPr>
        <w:t>评标委员会</w:t>
      </w:r>
      <w:r>
        <w:rPr>
          <w:sz w:val="24"/>
        </w:rPr>
        <w:t>将</w:t>
      </w:r>
      <w:r>
        <w:rPr>
          <w:rFonts w:hint="eastAsia"/>
          <w:sz w:val="24"/>
        </w:rPr>
        <w:t>按照</w:t>
      </w:r>
      <w:r>
        <w:rPr>
          <w:sz w:val="24"/>
        </w:rPr>
        <w:t>第三章</w:t>
      </w:r>
      <w:r>
        <w:rPr>
          <w:rFonts w:hint="eastAsia" w:ascii="宋体" w:hAnsi="宋体" w:cs="宋体"/>
          <w:sz w:val="24"/>
        </w:rPr>
        <w:t>“评标办法”</w:t>
      </w:r>
      <w:r>
        <w:rPr>
          <w:sz w:val="24"/>
        </w:rPr>
        <w:t>规定的原则计算评标基准价。若</w:t>
      </w:r>
      <w:r>
        <w:rPr>
          <w:rFonts w:hint="eastAsia"/>
          <w:sz w:val="24"/>
        </w:rPr>
        <w:t>评标委员会</w:t>
      </w:r>
      <w:r>
        <w:rPr>
          <w:sz w:val="24"/>
        </w:rPr>
        <w:t>发现投标文件出现以下任一情况，其投标报价将不再参加评标基准价的计算：</w:t>
      </w:r>
    </w:p>
    <w:p>
      <w:pPr>
        <w:spacing w:line="360" w:lineRule="auto"/>
        <w:ind w:firstLine="480"/>
        <w:rPr>
          <w:sz w:val="24"/>
        </w:rPr>
      </w:pPr>
      <w:r>
        <w:rPr>
          <w:sz w:val="24"/>
        </w:rPr>
        <w:t>（1）未在投标函上填写投标总价；</w:t>
      </w:r>
    </w:p>
    <w:p>
      <w:pPr>
        <w:spacing w:line="360" w:lineRule="auto"/>
        <w:ind w:firstLine="480"/>
        <w:rPr>
          <w:sz w:val="24"/>
        </w:rPr>
      </w:pPr>
      <w:r>
        <w:rPr>
          <w:sz w:val="24"/>
        </w:rPr>
        <w:t>（2）投标报价或调价函中的报价超出招标人公布的最高投标限价（如有）；</w:t>
      </w:r>
    </w:p>
    <w:p>
      <w:pPr>
        <w:spacing w:line="360" w:lineRule="auto"/>
        <w:ind w:firstLine="480"/>
        <w:rPr>
          <w:sz w:val="24"/>
        </w:rPr>
      </w:pPr>
      <w:r>
        <w:rPr>
          <w:sz w:val="24"/>
        </w:rPr>
        <w:t>（3）投标人须知前附表规定的其他情形。</w:t>
      </w:r>
    </w:p>
    <w:p>
      <w:pPr>
        <w:spacing w:line="360" w:lineRule="auto"/>
        <w:ind w:firstLine="480"/>
        <w:rPr>
          <w:sz w:val="24"/>
        </w:rPr>
      </w:pPr>
      <w:r>
        <w:rPr>
          <w:sz w:val="24"/>
        </w:rPr>
        <w:t>评标基准价除计算有误经评标委员会修正外，在整个评标期间保持不变，不随任何因素发生变化。</w:t>
      </w:r>
    </w:p>
    <w:p>
      <w:pPr>
        <w:keepNext/>
        <w:keepLines/>
        <w:spacing w:beforeLines="100" w:afterLines="100"/>
        <w:ind w:firstLine="0" w:firstLineChars="0"/>
        <w:outlineLvl w:val="2"/>
        <w:rPr>
          <w:rFonts w:eastAsia="黑体"/>
          <w:bCs/>
          <w:sz w:val="24"/>
          <w:szCs w:val="32"/>
        </w:rPr>
      </w:pPr>
      <w:bookmarkStart w:id="296" w:name="_Toc26656971"/>
      <w:bookmarkStart w:id="297" w:name="_Toc138689380"/>
      <w:bookmarkStart w:id="298" w:name="_Toc615"/>
      <w:bookmarkStart w:id="299" w:name="_Toc8193"/>
      <w:bookmarkStart w:id="300" w:name="_Toc116662744"/>
      <w:bookmarkStart w:id="301" w:name="_Toc14201240"/>
      <w:r>
        <w:rPr>
          <w:rFonts w:eastAsia="黑体"/>
          <w:bCs/>
          <w:sz w:val="24"/>
          <w:szCs w:val="32"/>
        </w:rPr>
        <w:t>5.3</w:t>
      </w:r>
      <w:r>
        <w:rPr>
          <w:rFonts w:hint="eastAsia" w:eastAsia="黑体"/>
          <w:bCs/>
          <w:sz w:val="24"/>
          <w:szCs w:val="32"/>
        </w:rPr>
        <w:t xml:space="preserve"> </w:t>
      </w:r>
      <w:r>
        <w:rPr>
          <w:rFonts w:eastAsia="黑体"/>
          <w:bCs/>
          <w:sz w:val="24"/>
          <w:szCs w:val="32"/>
        </w:rPr>
        <w:t>开标异议</w:t>
      </w:r>
      <w:bookmarkEnd w:id="296"/>
      <w:bookmarkEnd w:id="297"/>
      <w:bookmarkEnd w:id="298"/>
      <w:bookmarkEnd w:id="299"/>
      <w:bookmarkEnd w:id="300"/>
      <w:bookmarkEnd w:id="301"/>
    </w:p>
    <w:p>
      <w:pPr>
        <w:spacing w:line="360" w:lineRule="auto"/>
        <w:ind w:firstLine="480"/>
        <w:rPr>
          <w:sz w:val="24"/>
        </w:rPr>
      </w:pPr>
      <w:bookmarkStart w:id="302" w:name="_Toc9067725"/>
      <w:bookmarkStart w:id="303" w:name="_Toc14201241"/>
      <w:r>
        <w:rPr>
          <w:sz w:val="24"/>
        </w:rPr>
        <w:t>投标人对开标有异议的，应当在开标过程中提出；招标人当场对异议作出答复，并记入开标记录。异议与答复应通过电子交易系统进行。</w:t>
      </w:r>
    </w:p>
    <w:p>
      <w:pPr>
        <w:keepNext/>
        <w:keepLines/>
        <w:spacing w:beforeLines="100" w:afterLines="100"/>
        <w:ind w:firstLine="0" w:firstLineChars="0"/>
        <w:jc w:val="left"/>
        <w:outlineLvl w:val="1"/>
        <w:rPr>
          <w:rFonts w:eastAsia="黑体"/>
          <w:bCs/>
          <w:sz w:val="32"/>
          <w:szCs w:val="32"/>
        </w:rPr>
      </w:pPr>
      <w:bookmarkStart w:id="304" w:name="_Toc26710"/>
      <w:bookmarkStart w:id="305" w:name="_Toc26446"/>
      <w:bookmarkStart w:id="306" w:name="_Toc138689381"/>
      <w:bookmarkStart w:id="307" w:name="_Toc30869"/>
      <w:bookmarkStart w:id="308" w:name="_Toc19861"/>
      <w:r>
        <w:rPr>
          <w:rFonts w:eastAsia="黑体"/>
          <w:bCs/>
          <w:sz w:val="32"/>
          <w:szCs w:val="32"/>
        </w:rPr>
        <w:t>6. 评标</w:t>
      </w:r>
      <w:bookmarkEnd w:id="302"/>
      <w:bookmarkEnd w:id="303"/>
      <w:bookmarkEnd w:id="304"/>
      <w:bookmarkEnd w:id="305"/>
      <w:bookmarkEnd w:id="306"/>
      <w:bookmarkEnd w:id="307"/>
      <w:bookmarkEnd w:id="308"/>
    </w:p>
    <w:p>
      <w:pPr>
        <w:keepNext/>
        <w:keepLines/>
        <w:spacing w:beforeLines="100" w:afterLines="100"/>
        <w:ind w:firstLine="0" w:firstLineChars="0"/>
        <w:outlineLvl w:val="2"/>
        <w:rPr>
          <w:rFonts w:eastAsia="黑体"/>
          <w:bCs/>
          <w:sz w:val="24"/>
          <w:szCs w:val="32"/>
        </w:rPr>
      </w:pPr>
      <w:bookmarkStart w:id="309" w:name="_Toc32290"/>
      <w:bookmarkStart w:id="310" w:name="_Toc116662746"/>
      <w:bookmarkStart w:id="311" w:name="_Toc5082"/>
      <w:bookmarkStart w:id="312" w:name="_Toc26656973"/>
      <w:bookmarkStart w:id="313" w:name="_Toc14201242"/>
      <w:bookmarkStart w:id="314" w:name="_Toc138689382"/>
      <w:r>
        <w:rPr>
          <w:rFonts w:eastAsia="黑体"/>
          <w:bCs/>
          <w:sz w:val="24"/>
          <w:szCs w:val="32"/>
        </w:rPr>
        <w:t>6.1</w:t>
      </w:r>
      <w:r>
        <w:rPr>
          <w:rFonts w:hint="eastAsia" w:eastAsia="黑体"/>
          <w:bCs/>
          <w:sz w:val="24"/>
          <w:szCs w:val="32"/>
        </w:rPr>
        <w:t xml:space="preserve"> </w:t>
      </w:r>
      <w:r>
        <w:rPr>
          <w:rFonts w:eastAsia="黑体"/>
          <w:bCs/>
          <w:sz w:val="24"/>
          <w:szCs w:val="32"/>
        </w:rPr>
        <w:t>评标委员会</w:t>
      </w:r>
      <w:bookmarkEnd w:id="309"/>
      <w:bookmarkEnd w:id="310"/>
      <w:bookmarkEnd w:id="311"/>
      <w:bookmarkEnd w:id="312"/>
      <w:bookmarkEnd w:id="313"/>
      <w:bookmarkEnd w:id="314"/>
    </w:p>
    <w:p>
      <w:pPr>
        <w:spacing w:line="360" w:lineRule="auto"/>
        <w:ind w:firstLine="480"/>
        <w:rPr>
          <w:sz w:val="24"/>
        </w:rPr>
      </w:pPr>
      <w:r>
        <w:rPr>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rPr>
          <w:sz w:val="24"/>
        </w:rPr>
      </w:pPr>
      <w:r>
        <w:rPr>
          <w:sz w:val="24"/>
        </w:rPr>
        <w:t>6.1.2 评标委员会成员有下列情形之一的，应主动提出回避：</w:t>
      </w:r>
    </w:p>
    <w:p>
      <w:pPr>
        <w:spacing w:line="360" w:lineRule="auto"/>
        <w:ind w:firstLine="480"/>
        <w:rPr>
          <w:sz w:val="24"/>
        </w:rPr>
      </w:pPr>
      <w:bookmarkStart w:id="315" w:name="_Hlk22744095"/>
      <w:r>
        <w:rPr>
          <w:sz w:val="24"/>
        </w:rPr>
        <w:t xml:space="preserve">（1）投标人或投标人的主要负责人的近亲属； </w:t>
      </w:r>
    </w:p>
    <w:p>
      <w:pPr>
        <w:spacing w:line="360" w:lineRule="auto"/>
        <w:ind w:firstLine="480"/>
        <w:rPr>
          <w:sz w:val="24"/>
        </w:rPr>
      </w:pPr>
      <w:r>
        <w:rPr>
          <w:sz w:val="24"/>
        </w:rPr>
        <w:t>（2）项目主管部门或者行政监督部门的人员；</w:t>
      </w:r>
    </w:p>
    <w:p>
      <w:pPr>
        <w:spacing w:line="360" w:lineRule="auto"/>
        <w:ind w:firstLine="480"/>
        <w:rPr>
          <w:sz w:val="24"/>
        </w:rPr>
      </w:pPr>
      <w:r>
        <w:rPr>
          <w:sz w:val="24"/>
        </w:rPr>
        <w:t>（3）与投标人有经济利益关系，可能影响对投标公正评审的；</w:t>
      </w:r>
    </w:p>
    <w:p>
      <w:pPr>
        <w:spacing w:line="360" w:lineRule="auto"/>
        <w:ind w:firstLine="480"/>
        <w:rPr>
          <w:sz w:val="24"/>
        </w:rPr>
      </w:pPr>
      <w:r>
        <w:rPr>
          <w:sz w:val="24"/>
        </w:rPr>
        <w:t>（4）曾因在招标、评标以及其他与招标投标有关活动中从事违法行为而受过行政处罚或刑事处罚的；</w:t>
      </w:r>
    </w:p>
    <w:p>
      <w:pPr>
        <w:spacing w:line="360" w:lineRule="auto"/>
        <w:ind w:firstLine="480"/>
        <w:rPr>
          <w:sz w:val="24"/>
        </w:rPr>
      </w:pPr>
      <w:r>
        <w:rPr>
          <w:sz w:val="24"/>
        </w:rPr>
        <w:t>（5）与投标人有其他利害关系。</w:t>
      </w:r>
      <w:bookmarkEnd w:id="315"/>
    </w:p>
    <w:p>
      <w:pPr>
        <w:spacing w:line="360" w:lineRule="auto"/>
        <w:ind w:firstLine="480"/>
        <w:rPr>
          <w:sz w:val="24"/>
        </w:rPr>
      </w:pPr>
      <w:r>
        <w:rPr>
          <w:sz w:val="24"/>
        </w:rPr>
        <w:t>6.1.3 评标过程中，评标委员会成员有回避事由、擅离职守或因健康等原因不能继续评标的，招标人有权更换。被更换的评标委员会成员作出的评审结论无效，由更换后的评标委员会成员重新进行评审。</w:t>
      </w:r>
    </w:p>
    <w:p>
      <w:pPr>
        <w:keepNext/>
        <w:keepLines/>
        <w:spacing w:beforeLines="100" w:afterLines="100"/>
        <w:ind w:firstLine="0" w:firstLineChars="0"/>
        <w:outlineLvl w:val="2"/>
        <w:rPr>
          <w:rFonts w:eastAsia="黑体"/>
          <w:bCs/>
          <w:sz w:val="24"/>
          <w:szCs w:val="32"/>
        </w:rPr>
      </w:pPr>
      <w:bookmarkStart w:id="316" w:name="_Toc138689383"/>
      <w:bookmarkStart w:id="317" w:name="_Toc26656974"/>
      <w:bookmarkStart w:id="318" w:name="_Toc4346"/>
      <w:bookmarkStart w:id="319" w:name="_Toc14201243"/>
      <w:bookmarkStart w:id="320" w:name="_Toc21108"/>
      <w:bookmarkStart w:id="321" w:name="_Toc116662747"/>
      <w:r>
        <w:rPr>
          <w:rFonts w:eastAsia="黑体"/>
          <w:bCs/>
          <w:sz w:val="24"/>
          <w:szCs w:val="32"/>
        </w:rPr>
        <w:t>6.2</w:t>
      </w:r>
      <w:r>
        <w:rPr>
          <w:rFonts w:hint="eastAsia" w:eastAsia="黑体"/>
          <w:bCs/>
          <w:sz w:val="24"/>
          <w:szCs w:val="32"/>
        </w:rPr>
        <w:t xml:space="preserve"> </w:t>
      </w:r>
      <w:r>
        <w:rPr>
          <w:rFonts w:eastAsia="黑体"/>
          <w:bCs/>
          <w:sz w:val="24"/>
          <w:szCs w:val="32"/>
        </w:rPr>
        <w:t>评标原则</w:t>
      </w:r>
      <w:bookmarkEnd w:id="316"/>
      <w:bookmarkEnd w:id="317"/>
      <w:bookmarkEnd w:id="318"/>
      <w:bookmarkEnd w:id="319"/>
      <w:bookmarkEnd w:id="320"/>
      <w:bookmarkEnd w:id="321"/>
    </w:p>
    <w:p>
      <w:pPr>
        <w:spacing w:line="360" w:lineRule="auto"/>
        <w:ind w:firstLine="480"/>
        <w:rPr>
          <w:sz w:val="24"/>
        </w:rPr>
      </w:pPr>
      <w:r>
        <w:rPr>
          <w:sz w:val="24"/>
        </w:rPr>
        <w:t>评标活动遵循公平、公正、科学和择优的原则。</w:t>
      </w:r>
    </w:p>
    <w:p>
      <w:pPr>
        <w:keepNext/>
        <w:keepLines/>
        <w:spacing w:beforeLines="100" w:afterLines="100"/>
        <w:ind w:firstLine="0" w:firstLineChars="0"/>
        <w:outlineLvl w:val="2"/>
        <w:rPr>
          <w:rFonts w:eastAsia="黑体"/>
          <w:bCs/>
          <w:sz w:val="24"/>
          <w:szCs w:val="32"/>
        </w:rPr>
      </w:pPr>
      <w:bookmarkStart w:id="322" w:name="_Toc26656975"/>
      <w:bookmarkStart w:id="323" w:name="_Toc6823"/>
      <w:bookmarkStart w:id="324" w:name="_Toc138689384"/>
      <w:bookmarkStart w:id="325" w:name="_Toc14201244"/>
      <w:bookmarkStart w:id="326" w:name="_Toc10023"/>
      <w:bookmarkStart w:id="327" w:name="_Toc116662748"/>
      <w:r>
        <w:rPr>
          <w:rFonts w:eastAsia="黑体"/>
          <w:bCs/>
          <w:sz w:val="24"/>
          <w:szCs w:val="32"/>
        </w:rPr>
        <w:t>6.3</w:t>
      </w:r>
      <w:r>
        <w:rPr>
          <w:rFonts w:hint="eastAsia" w:eastAsia="黑体"/>
          <w:bCs/>
          <w:sz w:val="24"/>
          <w:szCs w:val="32"/>
        </w:rPr>
        <w:t xml:space="preserve"> </w:t>
      </w:r>
      <w:r>
        <w:rPr>
          <w:rFonts w:eastAsia="黑体"/>
          <w:bCs/>
          <w:sz w:val="24"/>
          <w:szCs w:val="32"/>
        </w:rPr>
        <w:t>评标</w:t>
      </w:r>
      <w:bookmarkEnd w:id="322"/>
      <w:bookmarkEnd w:id="323"/>
      <w:bookmarkEnd w:id="324"/>
      <w:bookmarkEnd w:id="325"/>
      <w:bookmarkEnd w:id="326"/>
      <w:bookmarkEnd w:id="327"/>
    </w:p>
    <w:p>
      <w:pPr>
        <w:spacing w:line="360" w:lineRule="auto"/>
        <w:ind w:firstLine="480"/>
        <w:rPr>
          <w:sz w:val="24"/>
        </w:rPr>
      </w:pPr>
      <w:r>
        <w:rPr>
          <w:sz w:val="24"/>
        </w:rPr>
        <w:t>6.3.1评标委员会按照第三章</w:t>
      </w:r>
      <w:r>
        <w:rPr>
          <w:rFonts w:hint="eastAsia" w:ascii="宋体" w:hAnsi="宋体" w:cs="宋体"/>
          <w:sz w:val="24"/>
        </w:rPr>
        <w:t>“评标办法”规定的方法、评审因素、标准和程序对投标文件进行评审。第三章“评标办法”没有</w:t>
      </w:r>
      <w:r>
        <w:rPr>
          <w:sz w:val="24"/>
        </w:rPr>
        <w:t>规定的方法、评审因素和标准，不作为评标依据。</w:t>
      </w:r>
    </w:p>
    <w:p>
      <w:pPr>
        <w:spacing w:line="360" w:lineRule="auto"/>
        <w:ind w:firstLine="480"/>
        <w:rPr>
          <w:sz w:val="24"/>
        </w:rPr>
      </w:pPr>
      <w:r>
        <w:rPr>
          <w:sz w:val="24"/>
        </w:rPr>
        <w:t>6.3.2评标完成后，评标委员会应向招标人提交书面评标报告和中标候选人名单。评标委员会推荐中标候选人的数量见投标人须知前附表。</w:t>
      </w:r>
    </w:p>
    <w:p>
      <w:pPr>
        <w:keepNext/>
        <w:keepLines/>
        <w:spacing w:beforeLines="100" w:afterLines="100"/>
        <w:ind w:firstLine="0" w:firstLineChars="0"/>
        <w:outlineLvl w:val="2"/>
        <w:rPr>
          <w:rFonts w:eastAsia="黑体"/>
          <w:bCs/>
          <w:sz w:val="24"/>
          <w:szCs w:val="32"/>
        </w:rPr>
      </w:pPr>
      <w:bookmarkStart w:id="328" w:name="_Toc138689385"/>
      <w:bookmarkStart w:id="329" w:name="_Toc116662749"/>
      <w:bookmarkStart w:id="330" w:name="_Toc152042343"/>
      <w:bookmarkStart w:id="331" w:name="_Toc144974535"/>
      <w:bookmarkStart w:id="332" w:name="_Toc152045567"/>
      <w:bookmarkStart w:id="333" w:name="_Toc179632585"/>
      <w:r>
        <w:rPr>
          <w:rFonts w:eastAsia="黑体"/>
          <w:bCs/>
          <w:sz w:val="24"/>
          <w:szCs w:val="32"/>
        </w:rPr>
        <w:t>6.4 中标候选人公示</w:t>
      </w:r>
      <w:bookmarkEnd w:id="328"/>
      <w:bookmarkEnd w:id="329"/>
    </w:p>
    <w:p>
      <w:pPr>
        <w:spacing w:line="440" w:lineRule="exact"/>
        <w:ind w:firstLine="480"/>
        <w:rPr>
          <w:sz w:val="24"/>
        </w:rPr>
      </w:pPr>
      <w:r>
        <w:rPr>
          <w:bCs/>
          <w:snapToGrid w:val="0"/>
          <w:sz w:val="24"/>
        </w:rPr>
        <w:t>招标人在收到评标报告之日起3日内，按照投标人须知前附表规定的公示媒介和期限依法公示中标候选人，公示期不得少于3日</w:t>
      </w:r>
      <w:r>
        <w:rPr>
          <w:rFonts w:hint="eastAsia"/>
          <w:bCs/>
          <w:snapToGrid w:val="0"/>
          <w:sz w:val="24"/>
        </w:rPr>
        <w:t>，</w:t>
      </w:r>
      <w:r>
        <w:rPr>
          <w:rFonts w:hint="eastAsia"/>
          <w:sz w:val="24"/>
        </w:rPr>
        <w:t>公示内容包括：</w:t>
      </w:r>
    </w:p>
    <w:p>
      <w:pPr>
        <w:spacing w:line="440" w:lineRule="exact"/>
        <w:ind w:firstLine="480"/>
        <w:rPr>
          <w:sz w:val="24"/>
        </w:rPr>
      </w:pPr>
      <w:r>
        <w:rPr>
          <w:rFonts w:hint="eastAsia"/>
          <w:sz w:val="24"/>
        </w:rPr>
        <w:t>（</w:t>
      </w:r>
      <w:r>
        <w:rPr>
          <w:sz w:val="24"/>
        </w:rPr>
        <w:t>1</w:t>
      </w:r>
      <w:r>
        <w:rPr>
          <w:rFonts w:hint="eastAsia"/>
          <w:sz w:val="24"/>
        </w:rPr>
        <w:t>）中标候选人排序、名称、投标报价，对工程质量要求、安全目标和工期的响应情况；</w:t>
      </w:r>
    </w:p>
    <w:p>
      <w:pPr>
        <w:spacing w:line="440" w:lineRule="exact"/>
        <w:ind w:firstLine="480"/>
        <w:rPr>
          <w:sz w:val="24"/>
        </w:rPr>
      </w:pPr>
      <w:r>
        <w:rPr>
          <w:rFonts w:hint="eastAsia"/>
          <w:sz w:val="24"/>
        </w:rPr>
        <w:t>（</w:t>
      </w:r>
      <w:r>
        <w:rPr>
          <w:sz w:val="24"/>
        </w:rPr>
        <w:t>2</w:t>
      </w:r>
      <w:r>
        <w:rPr>
          <w:rFonts w:hint="eastAsia"/>
          <w:sz w:val="24"/>
        </w:rPr>
        <w:t>）中标候选人在投标文件中提供的经评标委员会评审通过的项目经理和项目总工姓名、个人业绩、相关证书名称和编号；</w:t>
      </w:r>
    </w:p>
    <w:p>
      <w:pPr>
        <w:spacing w:line="440" w:lineRule="exact"/>
        <w:ind w:firstLine="480"/>
        <w:rPr>
          <w:sz w:val="24"/>
        </w:rPr>
      </w:pPr>
      <w:r>
        <w:rPr>
          <w:rFonts w:hint="eastAsia"/>
          <w:sz w:val="24"/>
        </w:rPr>
        <w:t>（</w:t>
      </w:r>
      <w:r>
        <w:rPr>
          <w:sz w:val="24"/>
        </w:rPr>
        <w:t>3</w:t>
      </w:r>
      <w:r>
        <w:rPr>
          <w:rFonts w:hint="eastAsia"/>
          <w:sz w:val="24"/>
        </w:rPr>
        <w:t>）中标候选人在投标文件中提供的经评标委员会评审通过的项目业绩；</w:t>
      </w:r>
    </w:p>
    <w:p>
      <w:pPr>
        <w:spacing w:line="440" w:lineRule="exact"/>
        <w:ind w:firstLine="480"/>
        <w:rPr>
          <w:sz w:val="24"/>
        </w:rPr>
      </w:pPr>
      <w:r>
        <w:rPr>
          <w:rFonts w:hint="eastAsia"/>
          <w:sz w:val="24"/>
        </w:rPr>
        <w:t>（</w:t>
      </w:r>
      <w:r>
        <w:rPr>
          <w:sz w:val="24"/>
        </w:rPr>
        <w:t>4</w:t>
      </w:r>
      <w:r>
        <w:rPr>
          <w:rFonts w:hint="eastAsia"/>
          <w:sz w:val="24"/>
        </w:rPr>
        <w:t>）被否决投标的投标人名称、否决依据和原因；</w:t>
      </w:r>
    </w:p>
    <w:p>
      <w:pPr>
        <w:spacing w:line="440" w:lineRule="exact"/>
        <w:ind w:firstLine="480"/>
        <w:rPr>
          <w:sz w:val="24"/>
        </w:rPr>
      </w:pPr>
      <w:r>
        <w:rPr>
          <w:rFonts w:hint="eastAsia"/>
          <w:sz w:val="24"/>
        </w:rPr>
        <w:t>（</w:t>
      </w:r>
      <w:r>
        <w:rPr>
          <w:sz w:val="24"/>
        </w:rPr>
        <w:t>5</w:t>
      </w:r>
      <w:r>
        <w:rPr>
          <w:rFonts w:hint="eastAsia"/>
          <w:sz w:val="24"/>
        </w:rPr>
        <w:t>）提出异议的渠道和方式；</w:t>
      </w:r>
    </w:p>
    <w:p>
      <w:pPr>
        <w:spacing w:line="440" w:lineRule="exact"/>
        <w:ind w:firstLine="420" w:firstLineChars="0"/>
        <w:rPr>
          <w:bCs/>
          <w:snapToGrid w:val="0"/>
          <w:sz w:val="24"/>
        </w:rPr>
      </w:pPr>
      <w:r>
        <w:rPr>
          <w:rFonts w:hint="eastAsia"/>
          <w:sz w:val="24"/>
        </w:rPr>
        <w:t>（</w:t>
      </w:r>
      <w:r>
        <w:rPr>
          <w:sz w:val="24"/>
        </w:rPr>
        <w:t>6</w:t>
      </w:r>
      <w:r>
        <w:rPr>
          <w:rFonts w:hint="eastAsia"/>
          <w:sz w:val="24"/>
        </w:rPr>
        <w:t>）投标人须知前附表规定公示的其他内容。</w:t>
      </w:r>
    </w:p>
    <w:p>
      <w:pPr>
        <w:keepNext/>
        <w:keepLines/>
        <w:spacing w:beforeLines="100" w:afterLines="100"/>
        <w:ind w:firstLine="0" w:firstLineChars="0"/>
        <w:outlineLvl w:val="2"/>
        <w:rPr>
          <w:rFonts w:eastAsia="黑体"/>
          <w:bCs/>
          <w:sz w:val="24"/>
          <w:szCs w:val="32"/>
        </w:rPr>
      </w:pPr>
      <w:bookmarkStart w:id="334" w:name="_Toc138689386"/>
      <w:bookmarkStart w:id="335" w:name="_Toc116662750"/>
      <w:r>
        <w:rPr>
          <w:rFonts w:eastAsia="黑体"/>
          <w:bCs/>
          <w:sz w:val="24"/>
          <w:szCs w:val="32"/>
        </w:rPr>
        <w:t>6.5 评标结果异议</w:t>
      </w:r>
      <w:bookmarkEnd w:id="334"/>
      <w:bookmarkEnd w:id="335"/>
    </w:p>
    <w:p>
      <w:pPr>
        <w:spacing w:line="360" w:lineRule="auto"/>
        <w:ind w:firstLine="480"/>
        <w:rPr>
          <w:sz w:val="24"/>
        </w:rPr>
      </w:pPr>
      <w:r>
        <w:rPr>
          <w:bCs/>
          <w:snapToGrid w:val="0"/>
          <w:sz w:val="24"/>
        </w:rPr>
        <w:t>投标人或者其他利害关系人对评标结果有异议的，应在中标候选人公示期间通过电子交易系统在线</w:t>
      </w:r>
      <w:r>
        <w:rPr>
          <w:rFonts w:hint="eastAsia"/>
          <w:bCs/>
          <w:snapToGrid w:val="0"/>
          <w:kern w:val="0"/>
          <w:sz w:val="24"/>
        </w:rPr>
        <w:t>提出</w:t>
      </w:r>
      <w:r>
        <w:rPr>
          <w:bCs/>
          <w:snapToGrid w:val="0"/>
          <w:sz w:val="24"/>
        </w:rPr>
        <w:t>或以其他书面形式提出。招标人将在收到异议之日起3日内作出答复；作出答复前，将暂停招标投标活动。</w:t>
      </w:r>
    </w:p>
    <w:p>
      <w:pPr>
        <w:keepNext/>
        <w:keepLines/>
        <w:spacing w:beforeLines="100" w:afterLines="100"/>
        <w:ind w:firstLine="0" w:firstLineChars="0"/>
        <w:outlineLvl w:val="2"/>
        <w:rPr>
          <w:rFonts w:eastAsia="黑体"/>
          <w:bCs/>
          <w:sz w:val="24"/>
          <w:szCs w:val="32"/>
        </w:rPr>
      </w:pPr>
      <w:bookmarkStart w:id="336" w:name="_Toc138689387"/>
      <w:bookmarkStart w:id="337" w:name="_Toc116662751"/>
      <w:r>
        <w:rPr>
          <w:rFonts w:eastAsia="黑体"/>
          <w:bCs/>
          <w:sz w:val="24"/>
          <w:szCs w:val="32"/>
        </w:rPr>
        <w:t>6.6 中标候选人履约能力审查</w:t>
      </w:r>
      <w:bookmarkEnd w:id="336"/>
      <w:bookmarkEnd w:id="337"/>
    </w:p>
    <w:p>
      <w:pPr>
        <w:spacing w:line="360" w:lineRule="auto"/>
        <w:ind w:firstLine="480"/>
        <w:rPr>
          <w:sz w:val="24"/>
        </w:rPr>
      </w:pPr>
      <w:r>
        <w:rPr>
          <w:sz w:val="24"/>
        </w:rPr>
        <w:t>中标候选人的经营、财务状况发生较大变化或存在违法行为，招标人认为可能影响其履约能力的，将在发出中标通知书前提请原评标委员会按照招标文件规定的标准和方法进行审查确认。</w:t>
      </w:r>
    </w:p>
    <w:p>
      <w:pPr>
        <w:keepNext/>
        <w:keepLines/>
        <w:spacing w:beforeLines="100" w:afterLines="100"/>
        <w:ind w:firstLine="0" w:firstLineChars="0"/>
        <w:jc w:val="left"/>
        <w:outlineLvl w:val="1"/>
        <w:rPr>
          <w:rFonts w:eastAsia="黑体"/>
          <w:bCs/>
          <w:sz w:val="32"/>
          <w:szCs w:val="32"/>
        </w:rPr>
      </w:pPr>
      <w:bookmarkStart w:id="338" w:name="_Toc11416"/>
      <w:bookmarkStart w:id="339" w:name="_Toc19019"/>
      <w:bookmarkStart w:id="340" w:name="_Toc138689388"/>
      <w:bookmarkStart w:id="341" w:name="_Toc25235"/>
      <w:r>
        <w:rPr>
          <w:rFonts w:eastAsia="黑体"/>
          <w:bCs/>
          <w:sz w:val="32"/>
          <w:szCs w:val="32"/>
        </w:rPr>
        <w:t>7. 定标</w:t>
      </w:r>
      <w:bookmarkEnd w:id="330"/>
      <w:bookmarkEnd w:id="331"/>
      <w:bookmarkEnd w:id="332"/>
      <w:bookmarkEnd w:id="333"/>
      <w:bookmarkEnd w:id="338"/>
      <w:bookmarkEnd w:id="339"/>
      <w:bookmarkEnd w:id="340"/>
      <w:bookmarkEnd w:id="341"/>
    </w:p>
    <w:p>
      <w:pPr>
        <w:keepNext/>
        <w:keepLines/>
        <w:spacing w:beforeLines="100" w:afterLines="100"/>
        <w:ind w:firstLine="0" w:firstLineChars="0"/>
        <w:outlineLvl w:val="2"/>
        <w:rPr>
          <w:rFonts w:eastAsia="黑体"/>
          <w:bCs/>
          <w:sz w:val="24"/>
          <w:szCs w:val="32"/>
        </w:rPr>
      </w:pPr>
      <w:bookmarkStart w:id="342" w:name="_Toc138689389"/>
      <w:bookmarkStart w:id="343" w:name="_Toc116662753"/>
      <w:r>
        <w:rPr>
          <w:rFonts w:eastAsia="黑体"/>
          <w:bCs/>
          <w:sz w:val="24"/>
          <w:szCs w:val="32"/>
        </w:rPr>
        <w:t>7.1 定标</w:t>
      </w:r>
      <w:bookmarkEnd w:id="342"/>
      <w:bookmarkEnd w:id="343"/>
    </w:p>
    <w:p>
      <w:pPr>
        <w:spacing w:line="360" w:lineRule="auto"/>
        <w:ind w:firstLine="480"/>
        <w:rPr>
          <w:sz w:val="24"/>
        </w:rPr>
      </w:pPr>
      <w:r>
        <w:rPr>
          <w:sz w:val="24"/>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keepLines/>
        <w:spacing w:beforeLines="100" w:afterLines="100"/>
        <w:ind w:firstLine="0" w:firstLineChars="0"/>
        <w:outlineLvl w:val="2"/>
        <w:rPr>
          <w:rFonts w:eastAsia="黑体"/>
          <w:bCs/>
          <w:sz w:val="24"/>
          <w:szCs w:val="32"/>
        </w:rPr>
      </w:pPr>
      <w:bookmarkStart w:id="344" w:name="_Toc138689390"/>
      <w:bookmarkStart w:id="345" w:name="_Toc116662754"/>
      <w:r>
        <w:rPr>
          <w:rFonts w:eastAsia="黑体"/>
          <w:bCs/>
          <w:sz w:val="24"/>
          <w:szCs w:val="32"/>
        </w:rPr>
        <w:t>7.2 中标结果公示</w:t>
      </w:r>
      <w:bookmarkEnd w:id="344"/>
      <w:bookmarkEnd w:id="345"/>
    </w:p>
    <w:p>
      <w:pPr>
        <w:spacing w:line="360" w:lineRule="auto"/>
        <w:ind w:firstLine="480"/>
        <w:rPr>
          <w:sz w:val="24"/>
        </w:rPr>
      </w:pPr>
      <w:r>
        <w:rPr>
          <w:sz w:val="24"/>
        </w:rPr>
        <w:t>招标人在确定中标人之日起3日内，按照投标人须知前附表规定的公示媒介依法公示中标结果。</w:t>
      </w:r>
    </w:p>
    <w:p>
      <w:pPr>
        <w:keepNext/>
        <w:keepLines/>
        <w:spacing w:beforeLines="100" w:afterLines="100"/>
        <w:ind w:firstLine="0" w:firstLineChars="0"/>
        <w:outlineLvl w:val="2"/>
        <w:rPr>
          <w:rFonts w:eastAsia="黑体"/>
          <w:bCs/>
          <w:sz w:val="24"/>
          <w:szCs w:val="32"/>
        </w:rPr>
      </w:pPr>
      <w:bookmarkStart w:id="346" w:name="_Toc116662755"/>
      <w:bookmarkStart w:id="347" w:name="_Toc138689391"/>
      <w:r>
        <w:rPr>
          <w:rFonts w:eastAsia="黑体"/>
          <w:bCs/>
          <w:sz w:val="24"/>
          <w:szCs w:val="32"/>
        </w:rPr>
        <w:t>7.3 中标通知</w:t>
      </w:r>
      <w:bookmarkEnd w:id="346"/>
      <w:bookmarkEnd w:id="347"/>
    </w:p>
    <w:p>
      <w:pPr>
        <w:spacing w:line="360" w:lineRule="auto"/>
        <w:ind w:firstLine="480"/>
        <w:rPr>
          <w:bCs/>
          <w:snapToGrid w:val="0"/>
          <w:sz w:val="24"/>
        </w:rPr>
      </w:pPr>
      <w:r>
        <w:rPr>
          <w:sz w:val="24"/>
        </w:rPr>
        <w:t>在本章第3.3款规定的投标有效期内，招标人</w:t>
      </w:r>
      <w:r>
        <w:rPr>
          <w:rFonts w:hint="eastAsia"/>
          <w:sz w:val="24"/>
        </w:rPr>
        <w:t>按照</w:t>
      </w:r>
      <w:r>
        <w:rPr>
          <w:sz w:val="24"/>
        </w:rPr>
        <w:t>投标人须知前附表规定的形式向中标人发出中标通知书，同时将中标结果通知未中标的投标人。</w:t>
      </w:r>
    </w:p>
    <w:p>
      <w:pPr>
        <w:keepNext/>
        <w:keepLines/>
        <w:spacing w:beforeLines="100" w:afterLines="100"/>
        <w:ind w:firstLine="0" w:firstLineChars="0"/>
        <w:jc w:val="left"/>
        <w:outlineLvl w:val="1"/>
        <w:rPr>
          <w:rFonts w:eastAsia="黑体"/>
          <w:bCs/>
          <w:sz w:val="32"/>
          <w:szCs w:val="32"/>
        </w:rPr>
      </w:pPr>
      <w:bookmarkStart w:id="348" w:name="_Toc1007"/>
      <w:bookmarkStart w:id="349" w:name="_Toc138689392"/>
      <w:bookmarkStart w:id="350" w:name="_Toc19811"/>
      <w:bookmarkStart w:id="351" w:name="_Toc30799"/>
      <w:bookmarkStart w:id="352" w:name="_Toc152042345"/>
      <w:bookmarkStart w:id="353" w:name="_Toc179632587"/>
      <w:bookmarkStart w:id="354" w:name="_Toc144974537"/>
      <w:bookmarkStart w:id="355" w:name="_Toc152045569"/>
      <w:r>
        <w:rPr>
          <w:rFonts w:hint="eastAsia" w:eastAsia="黑体"/>
          <w:bCs/>
          <w:sz w:val="32"/>
          <w:szCs w:val="32"/>
        </w:rPr>
        <w:t>8</w:t>
      </w:r>
      <w:r>
        <w:rPr>
          <w:rFonts w:eastAsia="黑体"/>
          <w:bCs/>
          <w:sz w:val="32"/>
          <w:szCs w:val="32"/>
        </w:rPr>
        <w:t>. 合同授予</w:t>
      </w:r>
      <w:bookmarkEnd w:id="348"/>
      <w:bookmarkEnd w:id="349"/>
      <w:bookmarkEnd w:id="350"/>
      <w:bookmarkEnd w:id="351"/>
    </w:p>
    <w:p>
      <w:pPr>
        <w:keepNext/>
        <w:keepLines/>
        <w:spacing w:line="360" w:lineRule="auto"/>
        <w:ind w:firstLine="0" w:firstLineChars="0"/>
        <w:outlineLvl w:val="2"/>
        <w:rPr>
          <w:rFonts w:eastAsia="黑体"/>
          <w:bCs/>
          <w:sz w:val="24"/>
          <w:szCs w:val="32"/>
        </w:rPr>
      </w:pPr>
      <w:bookmarkStart w:id="356" w:name="_Toc116662757"/>
      <w:bookmarkStart w:id="357" w:name="_Toc138689393"/>
      <w:r>
        <w:rPr>
          <w:rFonts w:eastAsia="黑体"/>
          <w:bCs/>
          <w:sz w:val="24"/>
          <w:szCs w:val="32"/>
        </w:rPr>
        <w:t>8.1 履约保证金</w:t>
      </w:r>
      <w:bookmarkEnd w:id="352"/>
      <w:bookmarkEnd w:id="353"/>
      <w:bookmarkEnd w:id="354"/>
      <w:bookmarkEnd w:id="355"/>
      <w:bookmarkEnd w:id="356"/>
      <w:bookmarkEnd w:id="357"/>
    </w:p>
    <w:p>
      <w:pPr>
        <w:spacing w:line="360" w:lineRule="auto"/>
        <w:ind w:firstLine="480"/>
        <w:rPr>
          <w:sz w:val="24"/>
        </w:rPr>
      </w:pPr>
      <w:r>
        <w:rPr>
          <w:sz w:val="24"/>
        </w:rPr>
        <w:t>8.1.1 在签订合同前，中标人应</w:t>
      </w:r>
      <w:r>
        <w:rPr>
          <w:rFonts w:hint="eastAsia"/>
          <w:sz w:val="24"/>
        </w:rPr>
        <w:t>按照</w:t>
      </w:r>
      <w:r>
        <w:rPr>
          <w:sz w:val="24"/>
        </w:rPr>
        <w:t>投标人须知前附表规定的金额、形式和招标文件第四</w:t>
      </w:r>
      <w:r>
        <w:rPr>
          <w:rFonts w:hint="eastAsia" w:ascii="宋体" w:hAnsi="宋体" w:cs="宋体"/>
          <w:sz w:val="24"/>
        </w:rPr>
        <w:t>章“合同条款及格式”规</w:t>
      </w:r>
      <w:r>
        <w:rPr>
          <w:sz w:val="24"/>
        </w:rPr>
        <w:t>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rPr>
          <w:sz w:val="24"/>
        </w:rPr>
      </w:pPr>
      <w:r>
        <w:rPr>
          <w:sz w:val="24"/>
        </w:rPr>
        <w:t>8.1.2 中标人不能</w:t>
      </w:r>
      <w:r>
        <w:rPr>
          <w:rFonts w:hint="eastAsia"/>
          <w:sz w:val="24"/>
        </w:rPr>
        <w:t>按照</w:t>
      </w:r>
      <w:r>
        <w:rPr>
          <w:sz w:val="24"/>
        </w:rPr>
        <w:t>本章第8.1.1项要求提交履约保证金的，视为放弃中标，其投标保证金不予退还，给招标人造成的损失超过投标保证金数额的，中标人还应当对超过部分予以赔偿。</w:t>
      </w:r>
    </w:p>
    <w:p>
      <w:pPr>
        <w:keepNext/>
        <w:keepLines/>
        <w:spacing w:line="360" w:lineRule="auto"/>
        <w:ind w:firstLine="0" w:firstLineChars="0"/>
        <w:outlineLvl w:val="2"/>
        <w:rPr>
          <w:rFonts w:eastAsia="黑体"/>
          <w:bCs/>
          <w:sz w:val="24"/>
          <w:szCs w:val="32"/>
        </w:rPr>
      </w:pPr>
      <w:bookmarkStart w:id="358" w:name="_Toc152045570"/>
      <w:bookmarkStart w:id="359" w:name="_Toc116662758"/>
      <w:bookmarkStart w:id="360" w:name="_Toc152042346"/>
      <w:bookmarkStart w:id="361" w:name="_Toc179632588"/>
      <w:bookmarkStart w:id="362" w:name="_Toc138689394"/>
      <w:bookmarkStart w:id="363" w:name="_Toc144974538"/>
      <w:r>
        <w:rPr>
          <w:rFonts w:eastAsia="黑体"/>
          <w:bCs/>
          <w:sz w:val="24"/>
          <w:szCs w:val="32"/>
        </w:rPr>
        <w:t>8.2 签订合同</w:t>
      </w:r>
      <w:bookmarkEnd w:id="358"/>
      <w:bookmarkEnd w:id="359"/>
      <w:bookmarkEnd w:id="360"/>
      <w:bookmarkEnd w:id="361"/>
      <w:bookmarkEnd w:id="362"/>
      <w:bookmarkEnd w:id="363"/>
    </w:p>
    <w:p>
      <w:pPr>
        <w:spacing w:line="360" w:lineRule="auto"/>
        <w:ind w:firstLine="480"/>
        <w:rPr>
          <w:sz w:val="24"/>
        </w:rPr>
      </w:pPr>
      <w:r>
        <w:rPr>
          <w:sz w:val="24"/>
        </w:rPr>
        <w:t>8.2.1 中标人和招标人应在中标通知书发出之日起30日内，根据招标文件和中标人的投标文件订立书面合同。中标人无正当理由拒签合同，在签订合同时向招标人提出附加条件，</w:t>
      </w:r>
      <w:r>
        <w:rPr>
          <w:rFonts w:hint="eastAsia"/>
          <w:sz w:val="24"/>
        </w:rPr>
        <w:t>或者</w:t>
      </w:r>
      <w:r>
        <w:rPr>
          <w:sz w:val="24"/>
        </w:rPr>
        <w:t>不按照招标文件要求提交履约保证金的，招标人取消其中标资格，其投标保证金不予退还；给招标人造成的损失超过投标保证金数额的，中标人还应对超过部分予以赔偿。</w:t>
      </w:r>
    </w:p>
    <w:p>
      <w:pPr>
        <w:spacing w:line="360" w:lineRule="auto"/>
        <w:ind w:firstLine="480"/>
        <w:rPr>
          <w:sz w:val="24"/>
        </w:rPr>
      </w:pPr>
      <w:r>
        <w:rPr>
          <w:sz w:val="24"/>
        </w:rPr>
        <w:t>8.2.2 发出中标通知书后，招标人无正当理由拒签合同，或者在签订合同时向中标人提出附加条件的，招标人应退还中标人的投标保证金。招标人存在前述情形的，由</w:t>
      </w:r>
      <w:r>
        <w:rPr>
          <w:rFonts w:hint="eastAsia"/>
          <w:sz w:val="24"/>
        </w:rPr>
        <w:t>公共资源交易监督管理部门</w:t>
      </w:r>
      <w:r>
        <w:rPr>
          <w:sz w:val="24"/>
        </w:rPr>
        <w:t>责令改正，可以处中标项目金额10‰以下的罚款；给中标人造成损失的，依法承担赔偿责任。</w:t>
      </w:r>
    </w:p>
    <w:p>
      <w:pPr>
        <w:spacing w:line="440" w:lineRule="exact"/>
        <w:ind w:firstLine="480"/>
        <w:rPr>
          <w:sz w:val="24"/>
        </w:rPr>
      </w:pPr>
      <w:r>
        <w:rPr>
          <w:sz w:val="24"/>
        </w:rPr>
        <w:t xml:space="preserve">8.2.3 </w:t>
      </w:r>
      <w:r>
        <w:rPr>
          <w:rFonts w:hint="eastAsia"/>
          <w:sz w:val="24"/>
        </w:rPr>
        <w:t>签约合同价的确定原则如下：</w:t>
      </w:r>
    </w:p>
    <w:p>
      <w:pPr>
        <w:spacing w:line="440" w:lineRule="exact"/>
        <w:ind w:firstLine="480"/>
        <w:rPr>
          <w:sz w:val="24"/>
        </w:rPr>
      </w:pPr>
      <w:r>
        <w:rPr>
          <w:rFonts w:hint="eastAsia"/>
          <w:sz w:val="24"/>
        </w:rPr>
        <w:t>（</w:t>
      </w:r>
      <w:r>
        <w:rPr>
          <w:sz w:val="24"/>
        </w:rPr>
        <w:t>1</w:t>
      </w:r>
      <w:r>
        <w:rPr>
          <w:rFonts w:hint="eastAsia"/>
          <w:sz w:val="24"/>
        </w:rPr>
        <w:t>）按照评标办法规定对投标报价进行修正后，若修正后的最终投标报价小于开标时的投标函大写金额报价，则签订合同时以修正后的最终投标报价为准；</w:t>
      </w:r>
    </w:p>
    <w:p>
      <w:pPr>
        <w:spacing w:line="440" w:lineRule="exact"/>
        <w:ind w:firstLine="480"/>
        <w:rPr>
          <w:sz w:val="24"/>
        </w:rPr>
      </w:pPr>
      <w:r>
        <w:rPr>
          <w:rFonts w:hint="eastAsia"/>
          <w:sz w:val="24"/>
        </w:rPr>
        <w:t>（</w:t>
      </w:r>
      <w:r>
        <w:rPr>
          <w:sz w:val="24"/>
        </w:rPr>
        <w:t>2</w:t>
      </w:r>
      <w:r>
        <w:rPr>
          <w:rFonts w:hint="eastAsia"/>
          <w:sz w:val="24"/>
        </w:rPr>
        <w:t>）按照评标办法规定对投标报价进行修正后，若修正后的最终投标报价大于开标时的投标函大写金额报价，则签订合同时以开标时的投标函大写金额报价为准，同时按比例修正相应子目的单价或合价。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360" w:lineRule="auto"/>
        <w:ind w:firstLine="480"/>
        <w:rPr>
          <w:sz w:val="24"/>
        </w:rPr>
      </w:pPr>
      <w:r>
        <w:rPr>
          <w:rFonts w:hint="eastAsia"/>
          <w:sz w:val="24"/>
        </w:rPr>
        <w:t xml:space="preserve">8.2.4 </w:t>
      </w:r>
      <w:r>
        <w:rPr>
          <w:sz w:val="24"/>
        </w:rPr>
        <w:t>联合体中标的，联合体各方应当共同与招标人签订合同，就中标项目向招标人承担连带责任。</w:t>
      </w:r>
    </w:p>
    <w:p>
      <w:pPr>
        <w:spacing w:line="440" w:lineRule="exact"/>
        <w:ind w:firstLine="480"/>
        <w:rPr>
          <w:sz w:val="24"/>
        </w:rPr>
      </w:pPr>
      <w:r>
        <w:rPr>
          <w:rFonts w:hint="eastAsia"/>
          <w:sz w:val="24"/>
        </w:rPr>
        <w:t>8.2.5 招标人和中标人在签订合同协议书的同时，需按照本招标文件规定的格式和要求签订廉政合同及安全生产合同，明确双方在廉政建设和安全生产方面的权利和义务以及应承担的违约责任。</w:t>
      </w:r>
    </w:p>
    <w:p>
      <w:pPr>
        <w:spacing w:line="360" w:lineRule="auto"/>
        <w:ind w:firstLine="480"/>
        <w:rPr>
          <w:sz w:val="24"/>
        </w:rPr>
      </w:pPr>
      <w:r>
        <w:rPr>
          <w:rFonts w:hint="eastAsia"/>
          <w:sz w:val="24"/>
        </w:rPr>
        <w:t>8.2.6 招标人将及时主动公开合同订立信息，并积极推进合同履行及变更信息公开。</w:t>
      </w:r>
    </w:p>
    <w:p>
      <w:pPr>
        <w:keepNext/>
        <w:keepLines/>
        <w:spacing w:beforeLines="100" w:afterLines="100"/>
        <w:ind w:firstLine="0" w:firstLineChars="0"/>
        <w:jc w:val="left"/>
        <w:outlineLvl w:val="1"/>
        <w:rPr>
          <w:rFonts w:eastAsia="黑体"/>
          <w:bCs/>
          <w:sz w:val="32"/>
          <w:szCs w:val="32"/>
        </w:rPr>
      </w:pPr>
      <w:bookmarkStart w:id="364" w:name="_Toc9067727"/>
      <w:bookmarkStart w:id="365" w:name="_Toc29841"/>
      <w:bookmarkStart w:id="366" w:name="_Toc14201257"/>
      <w:bookmarkStart w:id="367" w:name="_Toc22919"/>
      <w:bookmarkStart w:id="368" w:name="_Toc138689395"/>
      <w:bookmarkStart w:id="369" w:name="_Toc21117"/>
      <w:bookmarkStart w:id="370" w:name="_Toc8687"/>
      <w:r>
        <w:rPr>
          <w:rFonts w:eastAsia="黑体"/>
          <w:bCs/>
          <w:sz w:val="32"/>
          <w:szCs w:val="32"/>
        </w:rPr>
        <w:t>9. 纪律和监督</w:t>
      </w:r>
      <w:bookmarkEnd w:id="364"/>
      <w:bookmarkEnd w:id="365"/>
      <w:bookmarkEnd w:id="366"/>
      <w:bookmarkEnd w:id="367"/>
      <w:bookmarkEnd w:id="368"/>
      <w:bookmarkEnd w:id="369"/>
      <w:bookmarkEnd w:id="370"/>
    </w:p>
    <w:p>
      <w:pPr>
        <w:keepNext/>
        <w:keepLines/>
        <w:spacing w:beforeLines="100" w:afterLines="100"/>
        <w:ind w:firstLine="0" w:firstLineChars="0"/>
        <w:outlineLvl w:val="2"/>
        <w:rPr>
          <w:rFonts w:eastAsia="黑体"/>
          <w:bCs/>
          <w:sz w:val="24"/>
          <w:szCs w:val="32"/>
        </w:rPr>
      </w:pPr>
      <w:bookmarkStart w:id="371" w:name="_Toc116662762"/>
      <w:bookmarkStart w:id="372" w:name="_Toc138689396"/>
      <w:bookmarkStart w:id="373" w:name="_Toc5128"/>
      <w:bookmarkStart w:id="374" w:name="_Toc26656989"/>
      <w:bookmarkStart w:id="375" w:name="_Toc16517"/>
      <w:bookmarkStart w:id="376" w:name="_Toc14201258"/>
      <w:r>
        <w:rPr>
          <w:rFonts w:eastAsia="黑体"/>
          <w:bCs/>
          <w:sz w:val="24"/>
          <w:szCs w:val="32"/>
        </w:rPr>
        <w:t>9.1 对招标人的纪律要求</w:t>
      </w:r>
      <w:bookmarkEnd w:id="371"/>
      <w:bookmarkEnd w:id="372"/>
      <w:bookmarkEnd w:id="373"/>
      <w:bookmarkEnd w:id="374"/>
      <w:bookmarkEnd w:id="375"/>
      <w:bookmarkEnd w:id="376"/>
    </w:p>
    <w:p>
      <w:pPr>
        <w:spacing w:line="360" w:lineRule="auto"/>
        <w:ind w:firstLine="480"/>
        <w:rPr>
          <w:sz w:val="24"/>
        </w:rPr>
      </w:pPr>
      <w:r>
        <w:rPr>
          <w:sz w:val="24"/>
        </w:rPr>
        <w:t>招标人不得泄露招标投标活动中应保密的情况和资料，不得与投标人串通损害国家利益、社会公共利益或他人合法权益。</w:t>
      </w:r>
    </w:p>
    <w:p>
      <w:pPr>
        <w:keepNext/>
        <w:keepLines/>
        <w:spacing w:beforeLines="100" w:afterLines="100"/>
        <w:ind w:firstLine="0" w:firstLineChars="0"/>
        <w:outlineLvl w:val="2"/>
        <w:rPr>
          <w:rFonts w:eastAsia="黑体"/>
          <w:bCs/>
          <w:sz w:val="24"/>
          <w:szCs w:val="32"/>
        </w:rPr>
      </w:pPr>
      <w:bookmarkStart w:id="377" w:name="_Toc26656990"/>
      <w:bookmarkStart w:id="378" w:name="_Toc14201259"/>
      <w:bookmarkStart w:id="379" w:name="_Toc23553"/>
      <w:bookmarkStart w:id="380" w:name="_Toc116662763"/>
      <w:bookmarkStart w:id="381" w:name="_Toc138689397"/>
      <w:bookmarkStart w:id="382" w:name="_Toc13054"/>
      <w:r>
        <w:rPr>
          <w:rFonts w:eastAsia="黑体"/>
          <w:bCs/>
          <w:sz w:val="24"/>
          <w:szCs w:val="32"/>
        </w:rPr>
        <w:t>9.2 对投标人的纪律要求</w:t>
      </w:r>
      <w:bookmarkEnd w:id="377"/>
      <w:bookmarkEnd w:id="378"/>
      <w:bookmarkEnd w:id="379"/>
      <w:bookmarkEnd w:id="380"/>
      <w:bookmarkEnd w:id="381"/>
      <w:bookmarkEnd w:id="382"/>
    </w:p>
    <w:p>
      <w:pPr>
        <w:spacing w:line="360" w:lineRule="auto"/>
        <w:ind w:firstLine="480"/>
        <w:rPr>
          <w:sz w:val="24"/>
        </w:rPr>
      </w:pPr>
      <w:r>
        <w:rPr>
          <w:sz w:val="24"/>
        </w:rPr>
        <w:t>投标人不得相互串通投标或与招标人串通投标，不得向招标人或评标委员会成员行贿谋取中标，不得以他人名义投标或以其他方式弄虚作假骗取中标；投标人不得以任何方式干扰、影响评标工作。</w:t>
      </w:r>
    </w:p>
    <w:p>
      <w:pPr>
        <w:keepNext/>
        <w:keepLines/>
        <w:spacing w:beforeLines="100" w:afterLines="100"/>
        <w:ind w:firstLine="0" w:firstLineChars="0"/>
        <w:outlineLvl w:val="2"/>
        <w:rPr>
          <w:rFonts w:eastAsia="黑体"/>
          <w:bCs/>
          <w:sz w:val="24"/>
          <w:szCs w:val="32"/>
        </w:rPr>
      </w:pPr>
      <w:bookmarkStart w:id="383" w:name="_Toc26656991"/>
      <w:bookmarkStart w:id="384" w:name="_Toc116662764"/>
      <w:bookmarkStart w:id="385" w:name="_Toc18443"/>
      <w:bookmarkStart w:id="386" w:name="_Toc138689398"/>
      <w:bookmarkStart w:id="387" w:name="_Toc2887"/>
      <w:bookmarkStart w:id="388" w:name="_Toc14201260"/>
      <w:r>
        <w:rPr>
          <w:rFonts w:eastAsia="黑体"/>
          <w:bCs/>
          <w:sz w:val="24"/>
          <w:szCs w:val="32"/>
        </w:rPr>
        <w:t>9.3 对评标委员会成员的纪律要求</w:t>
      </w:r>
      <w:bookmarkEnd w:id="383"/>
      <w:bookmarkEnd w:id="384"/>
      <w:bookmarkEnd w:id="385"/>
      <w:bookmarkEnd w:id="386"/>
      <w:bookmarkEnd w:id="387"/>
      <w:bookmarkEnd w:id="388"/>
    </w:p>
    <w:p>
      <w:pPr>
        <w:spacing w:line="360" w:lineRule="auto"/>
        <w:ind w:firstLine="480"/>
        <w:rPr>
          <w:sz w:val="24"/>
        </w:rPr>
      </w:pPr>
      <w:r>
        <w:rPr>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hint="eastAsia" w:ascii="宋体" w:hAnsi="宋体" w:cs="宋体"/>
          <w:sz w:val="24"/>
        </w:rPr>
        <w:t>“评标办法”没</w:t>
      </w:r>
      <w:r>
        <w:rPr>
          <w:sz w:val="24"/>
        </w:rPr>
        <w:t>有规定的评审因素和标准进行评标。</w:t>
      </w:r>
    </w:p>
    <w:p>
      <w:pPr>
        <w:keepNext/>
        <w:keepLines/>
        <w:spacing w:beforeLines="100" w:afterLines="100"/>
        <w:ind w:firstLine="0" w:firstLineChars="0"/>
        <w:outlineLvl w:val="2"/>
        <w:rPr>
          <w:rFonts w:eastAsia="黑体"/>
          <w:bCs/>
          <w:sz w:val="24"/>
          <w:szCs w:val="32"/>
        </w:rPr>
      </w:pPr>
      <w:bookmarkStart w:id="389" w:name="_Toc138689399"/>
      <w:bookmarkStart w:id="390" w:name="_Toc7138"/>
      <w:bookmarkStart w:id="391" w:name="_Toc14201261"/>
      <w:bookmarkStart w:id="392" w:name="_Toc116662765"/>
      <w:bookmarkStart w:id="393" w:name="_Toc26656992"/>
      <w:bookmarkStart w:id="394" w:name="_Toc798"/>
      <w:r>
        <w:rPr>
          <w:rFonts w:eastAsia="黑体"/>
          <w:bCs/>
          <w:sz w:val="24"/>
          <w:szCs w:val="32"/>
        </w:rPr>
        <w:t>9.4 对与评标活动有关的工作人员的纪律要求</w:t>
      </w:r>
      <w:bookmarkEnd w:id="389"/>
      <w:bookmarkEnd w:id="390"/>
      <w:bookmarkEnd w:id="391"/>
      <w:bookmarkEnd w:id="392"/>
      <w:bookmarkEnd w:id="393"/>
      <w:bookmarkEnd w:id="394"/>
    </w:p>
    <w:p>
      <w:pPr>
        <w:spacing w:line="360" w:lineRule="auto"/>
        <w:ind w:firstLine="480"/>
        <w:rPr>
          <w:sz w:val="24"/>
        </w:rPr>
      </w:pPr>
      <w:r>
        <w:rPr>
          <w:rFonts w:hint="default"/>
          <w:sz w:val="24"/>
        </w:rPr>
        <w:t>与评标活动有关的工作人员不得收受他人的财</w:t>
      </w:r>
      <w:r>
        <w:rPr>
          <w:rFonts w:hint="default"/>
          <w:sz w:val="24"/>
          <w:lang w:val="en-US" w:eastAsia="zh-CN"/>
        </w:rPr>
        <w:t>物</w:t>
      </w:r>
      <w:r>
        <w:rPr>
          <w:rFonts w:hint="default"/>
          <w:sz w:val="24"/>
        </w:rPr>
        <w:t>或其他好处，不得向他人透露对投标文件的评审和比较、中标候选人的推荐情况以及评标有关的其他情况。在评标活动中，与评标活动有关的工作人员不得擅离职守，影响评标程序正常进行</w:t>
      </w:r>
      <w:r>
        <w:rPr>
          <w:sz w:val="24"/>
        </w:rPr>
        <w:t>。</w:t>
      </w:r>
    </w:p>
    <w:p>
      <w:pPr>
        <w:keepNext/>
        <w:keepLines/>
        <w:spacing w:beforeLines="100" w:afterLines="100"/>
        <w:ind w:firstLine="0" w:firstLineChars="0"/>
        <w:outlineLvl w:val="2"/>
        <w:rPr>
          <w:rFonts w:eastAsia="黑体"/>
          <w:bCs/>
          <w:sz w:val="24"/>
          <w:szCs w:val="32"/>
        </w:rPr>
      </w:pPr>
      <w:bookmarkStart w:id="395" w:name="_Toc26656993"/>
      <w:bookmarkStart w:id="396" w:name="_Toc138689400"/>
      <w:bookmarkStart w:id="397" w:name="_Toc30967"/>
      <w:bookmarkStart w:id="398" w:name="_Toc7724"/>
      <w:bookmarkStart w:id="399" w:name="_Toc14201262"/>
      <w:bookmarkStart w:id="400" w:name="_Toc116662766"/>
      <w:r>
        <w:rPr>
          <w:rFonts w:eastAsia="黑体"/>
          <w:bCs/>
          <w:sz w:val="24"/>
          <w:szCs w:val="32"/>
        </w:rPr>
        <w:t>9.5 投诉</w:t>
      </w:r>
      <w:bookmarkEnd w:id="395"/>
      <w:bookmarkEnd w:id="396"/>
      <w:bookmarkEnd w:id="397"/>
      <w:bookmarkEnd w:id="398"/>
      <w:bookmarkEnd w:id="399"/>
      <w:bookmarkEnd w:id="400"/>
    </w:p>
    <w:p>
      <w:pPr>
        <w:spacing w:line="360" w:lineRule="auto"/>
        <w:ind w:firstLine="480"/>
        <w:rPr>
          <w:sz w:val="24"/>
        </w:rPr>
      </w:pPr>
      <w:bookmarkStart w:id="401" w:name="_Toc9067731"/>
      <w:bookmarkStart w:id="402" w:name="_Toc14201263"/>
      <w:r>
        <w:rPr>
          <w:sz w:val="24"/>
        </w:rPr>
        <w:t>9.5.1 投标人或者其他利害关系人认为招标投标活动不符合法律、行政法规规定的，可以自知道或者应当知道之日起10日内通过网上投诉系统或以其他书面形式向有关行政监督部门投诉。投诉应当有明确的请求和必要的证明材料。</w:t>
      </w:r>
    </w:p>
    <w:p>
      <w:pPr>
        <w:spacing w:line="360" w:lineRule="auto"/>
        <w:ind w:firstLine="480"/>
        <w:rPr>
          <w:sz w:val="24"/>
        </w:rPr>
      </w:pPr>
      <w:r>
        <w:rPr>
          <w:sz w:val="24"/>
        </w:rPr>
        <w:t>9.5.2 投标人或者其他利害关系人对招标文件、开标和评标结果提出投诉的，应当按照投标人须知第2.4款、第5.3款和第6.5款的规定先向招标人提出异议。异议答复期间不计算在第9.5.1项规定的期限内。</w:t>
      </w:r>
    </w:p>
    <w:bookmarkEnd w:id="401"/>
    <w:bookmarkEnd w:id="402"/>
    <w:p>
      <w:pPr>
        <w:keepNext/>
        <w:keepLines/>
        <w:spacing w:beforeLines="100" w:afterLines="100"/>
        <w:ind w:firstLine="0" w:firstLineChars="0"/>
        <w:jc w:val="left"/>
        <w:outlineLvl w:val="1"/>
        <w:rPr>
          <w:rFonts w:eastAsia="黑体"/>
          <w:bCs/>
          <w:sz w:val="32"/>
          <w:szCs w:val="32"/>
        </w:rPr>
      </w:pPr>
      <w:bookmarkStart w:id="403" w:name="_Toc31695"/>
      <w:bookmarkStart w:id="404" w:name="_Toc8453"/>
      <w:bookmarkStart w:id="405" w:name="_Toc3280"/>
      <w:bookmarkStart w:id="406" w:name="_Toc12690"/>
      <w:bookmarkStart w:id="407" w:name="_Toc138689401"/>
      <w:bookmarkStart w:id="408" w:name="_Toc22696"/>
      <w:bookmarkStart w:id="409" w:name="_Toc20597"/>
      <w:bookmarkStart w:id="410" w:name="_Toc19540852"/>
      <w:bookmarkStart w:id="411" w:name="_Toc116662768"/>
      <w:bookmarkStart w:id="412" w:name="_Toc26365"/>
      <w:r>
        <w:rPr>
          <w:rFonts w:eastAsia="黑体"/>
          <w:bCs/>
          <w:sz w:val="32"/>
          <w:szCs w:val="32"/>
        </w:rPr>
        <w:t>10.</w:t>
      </w:r>
      <w:r>
        <w:rPr>
          <w:rFonts w:hint="eastAsia" w:eastAsia="黑体"/>
          <w:bCs/>
          <w:sz w:val="32"/>
          <w:szCs w:val="32"/>
        </w:rPr>
        <w:t xml:space="preserve"> </w:t>
      </w:r>
      <w:r>
        <w:rPr>
          <w:rFonts w:eastAsia="黑体"/>
          <w:bCs/>
          <w:sz w:val="32"/>
          <w:szCs w:val="32"/>
        </w:rPr>
        <w:t>需要补充的其他内容</w:t>
      </w:r>
      <w:bookmarkEnd w:id="403"/>
      <w:bookmarkEnd w:id="404"/>
      <w:bookmarkEnd w:id="405"/>
      <w:bookmarkEnd w:id="406"/>
      <w:bookmarkEnd w:id="407"/>
    </w:p>
    <w:p>
      <w:pPr>
        <w:spacing w:line="360" w:lineRule="auto"/>
        <w:ind w:firstLine="480"/>
        <w:rPr>
          <w:sz w:val="24"/>
        </w:rPr>
      </w:pPr>
      <w:r>
        <w:rPr>
          <w:sz w:val="24"/>
        </w:rPr>
        <w:t>需要补充的其他内容：见投标人须知前附表。</w:t>
      </w:r>
    </w:p>
    <w:p>
      <w:pPr>
        <w:spacing w:line="360" w:lineRule="auto"/>
        <w:ind w:firstLine="640"/>
        <w:rPr>
          <w:rFonts w:eastAsia="黑体"/>
          <w:bCs/>
          <w:sz w:val="32"/>
          <w:szCs w:val="32"/>
        </w:rPr>
      </w:pPr>
      <w:r>
        <w:rPr>
          <w:rFonts w:eastAsia="黑体"/>
          <w:bCs/>
          <w:sz w:val="32"/>
          <w:szCs w:val="32"/>
        </w:rPr>
        <w:br w:type="page"/>
      </w:r>
    </w:p>
    <w:p>
      <w:pPr>
        <w:keepNext/>
        <w:keepLines/>
        <w:spacing w:beforeLines="100" w:afterLines="100"/>
        <w:ind w:firstLine="0" w:firstLineChars="0"/>
        <w:jc w:val="center"/>
        <w:outlineLvl w:val="1"/>
        <w:rPr>
          <w:rFonts w:eastAsia="黑体"/>
          <w:bCs/>
          <w:sz w:val="32"/>
          <w:szCs w:val="32"/>
        </w:rPr>
      </w:pPr>
      <w:bookmarkStart w:id="413" w:name="_Toc19834"/>
      <w:bookmarkStart w:id="414" w:name="_Toc138689402"/>
      <w:r>
        <w:rPr>
          <w:rFonts w:eastAsia="黑体"/>
          <w:bCs/>
          <w:sz w:val="32"/>
          <w:szCs w:val="32"/>
        </w:rPr>
        <w:t>附件：合肥市公共资源交易电子招标投标操作规程</w:t>
      </w:r>
      <w:bookmarkEnd w:id="408"/>
      <w:bookmarkEnd w:id="409"/>
      <w:bookmarkEnd w:id="410"/>
      <w:bookmarkEnd w:id="411"/>
      <w:bookmarkEnd w:id="412"/>
      <w:bookmarkEnd w:id="413"/>
      <w:bookmarkEnd w:id="414"/>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 xml:space="preserve">第一条  </w:t>
      </w:r>
      <w:r>
        <w:rPr>
          <w:rFonts w:hint="eastAsia" w:ascii="宋体" w:hAnsi="宋体" w:cs="宋体"/>
          <w:kern w:val="0"/>
          <w:sz w:val="24"/>
        </w:rPr>
        <w:t>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 xml:space="preserve">第二条  </w:t>
      </w:r>
      <w:r>
        <w:rPr>
          <w:rFonts w:hint="eastAsia" w:ascii="宋体" w:hAnsi="宋体" w:cs="宋体"/>
          <w:kern w:val="0"/>
          <w:sz w:val="24"/>
        </w:rPr>
        <w:t>本规程适用于进入安徽合肥公共资源交易平台交易的项目。行业主管部门另有规定的，从其规定。</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 xml:space="preserve">第三条  </w:t>
      </w:r>
      <w:r>
        <w:rPr>
          <w:rFonts w:hint="eastAsia" w:ascii="宋体" w:hAnsi="宋体" w:cs="宋体"/>
          <w:kern w:val="0"/>
          <w:sz w:val="24"/>
        </w:rPr>
        <w:t>本规程所称的电子招标投标，是指以数据电文形式，依托电子交易系统和电子服务系统完成的全部或者部分招标投标交易活动。</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第四条</w:t>
      </w:r>
      <w:r>
        <w:rPr>
          <w:rFonts w:hint="eastAsia" w:ascii="宋体" w:hAnsi="宋体" w:cs="宋体"/>
          <w:kern w:val="0"/>
          <w:sz w:val="24"/>
        </w:rPr>
        <w:t xml:space="preserve">  电子交易系统是招标投标当事人通过数据电文形式完成招标投标交易活动的系统。</w:t>
      </w:r>
    </w:p>
    <w:p>
      <w:pPr>
        <w:widowControl/>
        <w:spacing w:line="360" w:lineRule="auto"/>
        <w:ind w:firstLine="640" w:firstLineChars="0"/>
        <w:rPr>
          <w:rFonts w:ascii="宋体" w:hAnsi="宋体" w:cs="宋体"/>
          <w:kern w:val="0"/>
          <w:sz w:val="24"/>
        </w:rPr>
      </w:pPr>
      <w:r>
        <w:rPr>
          <w:rFonts w:hint="eastAsia" w:ascii="宋体" w:hAnsi="宋体" w:cs="宋体"/>
          <w:kern w:val="0"/>
          <w:sz w:val="24"/>
        </w:rPr>
        <w:t>电子交易系统要具备在线完成招标投标全部交易过程，编辑、生成、对接、交换和发布有关招标投标数据信息的功能，并为行政监督部门依法实施监督和受理投诉提供所需的信息通道。</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第五条</w:t>
      </w:r>
      <w:r>
        <w:rPr>
          <w:rFonts w:hint="eastAsia" w:ascii="宋体" w:hAnsi="宋体" w:cs="宋体"/>
          <w:kern w:val="0"/>
          <w:sz w:val="24"/>
        </w:rPr>
        <w:t xml:space="preserve">  电子服务系统是满足与各电子交易系统之间电子招标投标信息对接交换、资源共享需要，并为市场主体、行政监督部门和社会公众提供信息交换、整合和发布的系统。</w:t>
      </w:r>
    </w:p>
    <w:p>
      <w:pPr>
        <w:widowControl/>
        <w:spacing w:line="360" w:lineRule="auto"/>
        <w:ind w:firstLine="640" w:firstLineChars="0"/>
        <w:rPr>
          <w:rFonts w:ascii="宋体" w:hAnsi="宋体" w:cs="宋体"/>
          <w:kern w:val="0"/>
          <w:sz w:val="24"/>
        </w:rPr>
      </w:pPr>
      <w:r>
        <w:rPr>
          <w:rFonts w:hint="eastAsia" w:ascii="宋体" w:hAnsi="宋体" w:cs="宋体"/>
          <w:kern w:val="0"/>
          <w:sz w:val="24"/>
        </w:rPr>
        <w:t>电子服务系统要具备与各电子交易系统之间招标投标相关信息对接、交换、发布、资格信誉和业绩公开、行业统计分析、连接评标专家库、提供行政监督通道等服务功能。</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第六条</w:t>
      </w:r>
      <w:r>
        <w:rPr>
          <w:rFonts w:hint="eastAsia" w:ascii="宋体" w:hAnsi="宋体" w:cs="宋体"/>
          <w:kern w:val="0"/>
          <w:sz w:val="24"/>
        </w:rPr>
        <w:t xml:space="preserve">  招标人或招标代理机构负责电子招标投标的组织实施，电子交易系统建设单位负责电子交易系统的服务保障，电子服务系统建设单位负责电子服务系统的服务保障。</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第七条</w:t>
      </w:r>
      <w:r>
        <w:rPr>
          <w:rFonts w:hint="eastAsia" w:ascii="宋体" w:hAnsi="宋体" w:cs="宋体"/>
          <w:kern w:val="0"/>
          <w:sz w:val="24"/>
        </w:rPr>
        <w:t xml:space="preserve">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pPr>
        <w:widowControl/>
        <w:spacing w:line="360" w:lineRule="auto"/>
        <w:ind w:firstLine="640" w:firstLineChars="0"/>
        <w:rPr>
          <w:rFonts w:ascii="宋体" w:hAnsi="宋体" w:cs="宋体"/>
          <w:kern w:val="0"/>
          <w:sz w:val="24"/>
        </w:rPr>
      </w:pPr>
      <w:r>
        <w:rPr>
          <w:rFonts w:hint="eastAsia" w:ascii="宋体" w:hAnsi="宋体" w:cs="宋体"/>
          <w:kern w:val="0"/>
          <w:sz w:val="24"/>
        </w:rPr>
        <w:t>投标人应妥善保管数字证书，由于数字证书遗失、损坏、更换、续期等情况导致投标文件无法上传或解密，由投标人自行承担责任。</w:t>
      </w:r>
    </w:p>
    <w:p>
      <w:pPr>
        <w:widowControl/>
        <w:spacing w:line="360" w:lineRule="auto"/>
        <w:ind w:firstLine="640" w:firstLineChars="0"/>
        <w:jc w:val="left"/>
        <w:rPr>
          <w:rFonts w:ascii="宋体" w:hAnsi="宋体" w:cs="宋体"/>
          <w:kern w:val="0"/>
          <w:sz w:val="24"/>
        </w:rPr>
      </w:pPr>
      <w:r>
        <w:rPr>
          <w:rFonts w:hint="eastAsia" w:ascii="宋体" w:hAnsi="宋体" w:cs="宋体"/>
          <w:b/>
          <w:bCs/>
          <w:kern w:val="0"/>
          <w:sz w:val="24"/>
        </w:rPr>
        <w:t>第八条</w:t>
      </w:r>
      <w:r>
        <w:rPr>
          <w:rFonts w:hint="eastAsia" w:ascii="宋体" w:hAnsi="宋体" w:cs="宋体"/>
          <w:kern w:val="0"/>
          <w:sz w:val="24"/>
        </w:rPr>
        <w:t xml:space="preserve">  招标人或招标代理机构应在招标公告和招标文件中明确招标项目采取电子招标投标方式，并按相关流程通过电子交易系统制作招标文件。 </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第九条</w:t>
      </w:r>
      <w:r>
        <w:rPr>
          <w:rFonts w:hint="eastAsia" w:ascii="宋体" w:hAnsi="宋体" w:cs="宋体"/>
          <w:kern w:val="0"/>
          <w:sz w:val="24"/>
        </w:rPr>
        <w:t xml:space="preserve">  招标公告、招标文件应由招标人或招标代理机构通过电子服务系统在安徽合肥公共资源交易中心网站发布，其中招标文件须加盖电子签章。</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第十条</w:t>
      </w:r>
      <w:r>
        <w:rPr>
          <w:rFonts w:hint="eastAsia" w:ascii="宋体" w:hAnsi="宋体" w:cs="宋体"/>
          <w:kern w:val="0"/>
          <w:sz w:val="24"/>
        </w:rPr>
        <w:t xml:space="preserve">  投标人登录安徽合肥公共资源交易中心电子服务系统获取招标文件。</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第十一条</w:t>
      </w:r>
      <w:r>
        <w:rPr>
          <w:rFonts w:hint="eastAsia" w:ascii="宋体" w:hAnsi="宋体" w:cs="宋体"/>
          <w:kern w:val="0"/>
          <w:sz w:val="24"/>
        </w:rPr>
        <w:t xml:space="preserve">  澄清、修改文件应由招标人或招标代理机构通过电子服务系统在安徽合肥公共资源交易中心网站发布，投标人应及时查阅相关澄清、修改信息。</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第十二条</w:t>
      </w:r>
      <w:r>
        <w:rPr>
          <w:rFonts w:hint="eastAsia" w:ascii="宋体" w:hAnsi="宋体" w:cs="宋体"/>
          <w:kern w:val="0"/>
          <w:sz w:val="24"/>
        </w:rPr>
        <w:t xml:space="preserve">  投标人应使用电子标书制作软件制作投标文件，电子标书制作软件应允许投标人离线制作投标文件，并且具备分段或整体加密、解密功能。</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第十三条</w:t>
      </w:r>
      <w:r>
        <w:rPr>
          <w:rFonts w:hint="eastAsia" w:ascii="宋体" w:hAnsi="宋体" w:cs="宋体"/>
          <w:kern w:val="0"/>
          <w:sz w:val="24"/>
        </w:rPr>
        <w:t xml:space="preserve">  投标人必须对投标文件进行电子签章并使用数字证书加密，并于招标文件规定的投标截止时间前通过电子交易系统完成上传。</w:t>
      </w:r>
    </w:p>
    <w:p>
      <w:pPr>
        <w:widowControl/>
        <w:spacing w:line="360" w:lineRule="auto"/>
        <w:ind w:firstLine="640" w:firstLineChars="0"/>
        <w:rPr>
          <w:rFonts w:ascii="宋体" w:hAnsi="宋体" w:cs="宋体"/>
          <w:kern w:val="0"/>
          <w:sz w:val="24"/>
        </w:rPr>
      </w:pPr>
      <w:r>
        <w:rPr>
          <w:rFonts w:hint="eastAsia" w:ascii="宋体" w:hAnsi="宋体" w:cs="宋体"/>
          <w:kern w:val="0"/>
          <w:sz w:val="24"/>
        </w:rPr>
        <w:t>投标人对加密的投标文件进行撤回的，应通过电子交易系统在投标截止时间前进行撤回操作；投标人对加密的投标文件进行修改的，应在投标截止时间前完成上传。</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第十四条</w:t>
      </w:r>
      <w:r>
        <w:rPr>
          <w:rFonts w:hint="eastAsia" w:ascii="宋体" w:hAnsi="宋体" w:cs="宋体"/>
          <w:kern w:val="0"/>
          <w:sz w:val="24"/>
        </w:rPr>
        <w:t xml:space="preserve">  投标截止时间以电子交易系统显示的时间为准，逾期系统将自动关闭， 未完成上传的投标文件将被拒绝。</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第十五条</w:t>
      </w:r>
      <w:r>
        <w:rPr>
          <w:rFonts w:hint="eastAsia" w:ascii="宋体" w:hAnsi="宋体" w:cs="宋体"/>
          <w:kern w:val="0"/>
          <w:sz w:val="24"/>
        </w:rPr>
        <w:t xml:space="preserve">  投标人在投标截止时间后按招标文件规定的解密时间完成投标文件解密，加密和解密须用同一数字证书。投标人未在招标文件规定的时间内完成解密的视为其放弃投标。</w:t>
      </w:r>
    </w:p>
    <w:p>
      <w:pPr>
        <w:widowControl/>
        <w:spacing w:line="360" w:lineRule="auto"/>
        <w:ind w:firstLine="640" w:firstLineChars="0"/>
        <w:rPr>
          <w:rFonts w:ascii="宋体" w:hAnsi="宋体" w:cs="宋体"/>
          <w:kern w:val="0"/>
          <w:sz w:val="24"/>
        </w:rPr>
      </w:pPr>
      <w:r>
        <w:rPr>
          <w:rFonts w:hint="eastAsia" w:ascii="宋体" w:hAnsi="宋体" w:cs="宋体"/>
          <w:kern w:val="0"/>
          <w:sz w:val="24"/>
        </w:rPr>
        <w:t>招标人或招标代理机构完成解密，导入并读取所有成功解密的投标文件，电子交易系统应自动记录开标过程。</w:t>
      </w:r>
    </w:p>
    <w:p>
      <w:pPr>
        <w:widowControl/>
        <w:spacing w:line="360" w:lineRule="auto"/>
        <w:ind w:firstLine="640" w:firstLineChars="0"/>
        <w:rPr>
          <w:rFonts w:ascii="宋体" w:hAnsi="宋体" w:cs="宋体"/>
          <w:kern w:val="0"/>
          <w:sz w:val="24"/>
        </w:rPr>
      </w:pPr>
      <w:r>
        <w:rPr>
          <w:rFonts w:hint="eastAsia" w:ascii="宋体" w:hAnsi="宋体" w:cs="宋体"/>
          <w:kern w:val="0"/>
          <w:sz w:val="24"/>
        </w:rPr>
        <w:t>招标文件约定须到达指定地点或线上进行演示、答辩、磋商、谈判等情形的，投标人应按照招标文件规定的时间到达指定地点或登录电子交易系统保持在线。</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第十六条</w:t>
      </w:r>
      <w:r>
        <w:rPr>
          <w:rFonts w:hint="eastAsia" w:ascii="宋体" w:hAnsi="宋体" w:cs="宋体"/>
          <w:kern w:val="0"/>
          <w:sz w:val="24"/>
        </w:rPr>
        <w:t xml:space="preserve">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第十七条</w:t>
      </w:r>
      <w:r>
        <w:rPr>
          <w:rFonts w:hint="eastAsia" w:ascii="宋体" w:hAnsi="宋体" w:cs="宋体"/>
          <w:kern w:val="0"/>
          <w:sz w:val="24"/>
        </w:rPr>
        <w:t xml:space="preserve">  招标人或招标代理机构组织评标，评标委员会依据招标文件规定的评标办法进行电子评标，并对评标结果签字或电子签名确认。</w:t>
      </w:r>
    </w:p>
    <w:p>
      <w:pPr>
        <w:widowControl/>
        <w:spacing w:line="360" w:lineRule="auto"/>
        <w:ind w:firstLine="640" w:firstLineChars="0"/>
        <w:rPr>
          <w:rFonts w:ascii="宋体" w:hAnsi="宋体" w:cs="宋体"/>
          <w:kern w:val="0"/>
          <w:sz w:val="24"/>
        </w:rPr>
      </w:pPr>
      <w:r>
        <w:rPr>
          <w:rFonts w:hint="eastAsia" w:ascii="宋体" w:hAnsi="宋体" w:cs="宋体"/>
          <w:kern w:val="0"/>
          <w:sz w:val="24"/>
        </w:rPr>
        <w:t>多次报价应按招标文件的要求提交。</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第十八条</w:t>
      </w:r>
      <w:r>
        <w:rPr>
          <w:rFonts w:hint="eastAsia" w:ascii="宋体" w:hAnsi="宋体" w:cs="宋体"/>
          <w:kern w:val="0"/>
          <w:sz w:val="24"/>
        </w:rPr>
        <w:t xml:space="preserve">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第十九条</w:t>
      </w:r>
      <w:r>
        <w:rPr>
          <w:rFonts w:hint="eastAsia" w:ascii="宋体" w:hAnsi="宋体" w:cs="宋体"/>
          <w:kern w:val="0"/>
          <w:sz w:val="24"/>
        </w:rPr>
        <w:t xml:space="preserve">  评标委员会完成评标后，应通过电子交易系统提交评标报告。招标人或招标代理机构将评标报告及时交互至电子服务系统。</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第二十条</w:t>
      </w:r>
      <w:r>
        <w:rPr>
          <w:rFonts w:hint="eastAsia" w:ascii="宋体" w:hAnsi="宋体" w:cs="宋体"/>
          <w:kern w:val="0"/>
          <w:sz w:val="24"/>
        </w:rPr>
        <w:t xml:space="preserve">  招标人或招标代理机构应通过电子服务系统在安徽合肥公共资源交易中心网站公示和公布中标候选人及中标结果。</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第二十一条</w:t>
      </w:r>
      <w:r>
        <w:rPr>
          <w:rFonts w:hint="eastAsia" w:ascii="宋体" w:hAnsi="宋体" w:cs="宋体"/>
          <w:kern w:val="0"/>
          <w:sz w:val="24"/>
        </w:rPr>
        <w:t xml:space="preserve">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 xml:space="preserve">第二十二条  </w:t>
      </w:r>
      <w:r>
        <w:rPr>
          <w:rFonts w:hint="eastAsia" w:ascii="宋体" w:hAnsi="宋体" w:cs="宋体"/>
          <w:kern w:val="0"/>
          <w:sz w:val="24"/>
        </w:rPr>
        <w:t>招标人确定中标人后，应通过电子交易系统向中标人发出中标通知书，中标通知书发出即视为送达。</w:t>
      </w:r>
      <w:r>
        <w:rPr>
          <w:rFonts w:hint="eastAsia" w:ascii="宋体" w:hAnsi="宋体" w:cs="宋体"/>
          <w:b/>
          <w:bCs/>
          <w:kern w:val="0"/>
          <w:sz w:val="24"/>
        </w:rPr>
        <w:t xml:space="preserve"> </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第二十三条</w:t>
      </w:r>
      <w:r>
        <w:rPr>
          <w:rFonts w:hint="eastAsia" w:ascii="宋体" w:hAnsi="宋体" w:cs="宋体"/>
          <w:kern w:val="0"/>
          <w:sz w:val="24"/>
        </w:rPr>
        <w:t xml:space="preserve">  出现下列情形导致电子服务系统或电子交易系统无法正常运行，影响招标投标过程的公平、公正和信息安全，经第三方机构认定后，各方当事人免责：</w:t>
      </w:r>
    </w:p>
    <w:p>
      <w:pPr>
        <w:widowControl/>
        <w:spacing w:line="360" w:lineRule="auto"/>
        <w:ind w:firstLine="640" w:firstLineChars="0"/>
        <w:rPr>
          <w:rFonts w:ascii="宋体" w:hAnsi="宋体" w:cs="宋体"/>
          <w:kern w:val="0"/>
          <w:sz w:val="24"/>
        </w:rPr>
      </w:pPr>
      <w:r>
        <w:rPr>
          <w:rFonts w:hint="eastAsia" w:ascii="宋体" w:hAnsi="宋体" w:cs="宋体"/>
          <w:kern w:val="0"/>
          <w:sz w:val="24"/>
        </w:rPr>
        <w:t>（一）网络、服务器、数据库发生故障造成无法访问或使用的；</w:t>
      </w:r>
    </w:p>
    <w:p>
      <w:pPr>
        <w:widowControl/>
        <w:spacing w:line="360" w:lineRule="auto"/>
        <w:ind w:firstLine="640" w:firstLineChars="0"/>
        <w:rPr>
          <w:rFonts w:ascii="宋体" w:hAnsi="宋体" w:cs="宋体"/>
          <w:kern w:val="0"/>
          <w:sz w:val="24"/>
        </w:rPr>
      </w:pPr>
      <w:r>
        <w:rPr>
          <w:rFonts w:hint="eastAsia" w:ascii="宋体" w:hAnsi="宋体" w:cs="宋体"/>
          <w:kern w:val="0"/>
          <w:sz w:val="24"/>
        </w:rPr>
        <w:t>（二）电力系统发生故障导致电子服务系统或电子交易系统无法运行的；</w:t>
      </w:r>
    </w:p>
    <w:p>
      <w:pPr>
        <w:widowControl/>
        <w:spacing w:line="360" w:lineRule="auto"/>
        <w:ind w:firstLine="640" w:firstLineChars="0"/>
        <w:rPr>
          <w:rFonts w:ascii="宋体" w:hAnsi="宋体" w:cs="宋体"/>
          <w:kern w:val="0"/>
          <w:sz w:val="24"/>
        </w:rPr>
      </w:pPr>
      <w:r>
        <w:rPr>
          <w:rFonts w:hint="eastAsia" w:ascii="宋体" w:hAnsi="宋体" w:cs="宋体"/>
          <w:kern w:val="0"/>
          <w:sz w:val="24"/>
        </w:rPr>
        <w:t>（三）出现网络攻击、病毒入侵以及电子服务系统或电子交易系统安全漏洞导致无法正常提供服务的；</w:t>
      </w:r>
    </w:p>
    <w:p>
      <w:pPr>
        <w:widowControl/>
        <w:spacing w:line="360" w:lineRule="auto"/>
        <w:ind w:firstLine="640" w:firstLineChars="0"/>
        <w:rPr>
          <w:rFonts w:ascii="宋体" w:hAnsi="宋体" w:cs="宋体"/>
          <w:kern w:val="0"/>
          <w:sz w:val="24"/>
        </w:rPr>
      </w:pPr>
      <w:r>
        <w:rPr>
          <w:rFonts w:hint="eastAsia" w:ascii="宋体" w:hAnsi="宋体" w:cs="宋体"/>
          <w:kern w:val="0"/>
          <w:sz w:val="24"/>
        </w:rPr>
        <w:t>（四）其他无法保证招标投标过程公平、公正和信息安全的情形。</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第二十四条</w:t>
      </w:r>
      <w:r>
        <w:rPr>
          <w:rFonts w:hint="eastAsia" w:ascii="宋体" w:hAnsi="宋体" w:cs="宋体"/>
          <w:kern w:val="0"/>
          <w:sz w:val="24"/>
        </w:rPr>
        <w:t xml:space="preserve">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pPr>
        <w:widowControl/>
        <w:spacing w:line="360" w:lineRule="auto"/>
        <w:ind w:firstLine="640" w:firstLineChars="0"/>
        <w:rPr>
          <w:rFonts w:ascii="宋体" w:hAnsi="宋体" w:cs="宋体"/>
          <w:kern w:val="0"/>
          <w:sz w:val="24"/>
        </w:rPr>
      </w:pPr>
      <w:r>
        <w:rPr>
          <w:rFonts w:hint="eastAsia" w:ascii="宋体" w:hAnsi="宋体" w:cs="宋体"/>
          <w:kern w:val="0"/>
          <w:sz w:val="24"/>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pPr>
        <w:widowControl/>
        <w:spacing w:line="360" w:lineRule="auto"/>
        <w:ind w:firstLine="640" w:firstLineChars="0"/>
        <w:rPr>
          <w:rFonts w:ascii="宋体" w:hAnsi="宋体" w:cs="宋体"/>
          <w:kern w:val="0"/>
          <w:sz w:val="24"/>
        </w:rPr>
      </w:pPr>
      <w:r>
        <w:rPr>
          <w:rFonts w:hint="eastAsia" w:ascii="宋体" w:hAnsi="宋体" w:cs="宋体"/>
          <w:kern w:val="0"/>
          <w:sz w:val="24"/>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第二十五条</w:t>
      </w:r>
      <w:r>
        <w:rPr>
          <w:rFonts w:hint="eastAsia" w:ascii="宋体" w:hAnsi="宋体" w:cs="宋体"/>
          <w:kern w:val="0"/>
          <w:sz w:val="24"/>
        </w:rPr>
        <w:t xml:space="preserve">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第二十六条</w:t>
      </w:r>
      <w:r>
        <w:rPr>
          <w:rFonts w:hint="eastAsia" w:ascii="宋体" w:hAnsi="宋体" w:cs="宋体"/>
          <w:kern w:val="0"/>
          <w:sz w:val="24"/>
        </w:rPr>
        <w:t xml:space="preserve"> 本规程由合肥市公共资源交易监督管理局负责解释。</w:t>
      </w:r>
    </w:p>
    <w:p>
      <w:pPr>
        <w:widowControl/>
        <w:spacing w:line="360" w:lineRule="auto"/>
        <w:ind w:firstLine="640" w:firstLineChars="0"/>
        <w:rPr>
          <w:rFonts w:ascii="宋体" w:hAnsi="宋体" w:cs="宋体"/>
          <w:kern w:val="0"/>
          <w:sz w:val="24"/>
        </w:rPr>
      </w:pPr>
      <w:r>
        <w:rPr>
          <w:rFonts w:hint="eastAsia" w:ascii="宋体" w:hAnsi="宋体" w:cs="宋体"/>
          <w:b/>
          <w:bCs/>
          <w:kern w:val="0"/>
          <w:sz w:val="24"/>
        </w:rPr>
        <w:t>第二十七条</w:t>
      </w:r>
      <w:r>
        <w:rPr>
          <w:rFonts w:hint="eastAsia" w:ascii="宋体" w:hAnsi="宋体" w:cs="宋体"/>
          <w:kern w:val="0"/>
          <w:sz w:val="24"/>
        </w:rPr>
        <w:t xml:space="preserve"> 本规程自发布之日起施行，有效期2年。原《合肥市公共资源交易电子招标投标操作规程》（合公法〔2020〕16号）同时废止。</w:t>
      </w:r>
    </w:p>
    <w:p>
      <w:pPr>
        <w:spacing w:line="440" w:lineRule="exact"/>
        <w:ind w:firstLine="0" w:firstLineChars="0"/>
      </w:pPr>
    </w:p>
    <w:p>
      <w:pPr>
        <w:widowControl/>
        <w:ind w:firstLine="0" w:firstLineChars="0"/>
        <w:jc w:val="left"/>
      </w:pPr>
      <w:r>
        <w:br w:type="page"/>
      </w:r>
    </w:p>
    <w:p>
      <w:pPr>
        <w:spacing w:beforeLines="100" w:afterLines="100"/>
        <w:ind w:firstLine="0" w:firstLineChars="0"/>
        <w:jc w:val="center"/>
        <w:outlineLvl w:val="0"/>
        <w:rPr>
          <w:b/>
          <w:bCs/>
          <w:kern w:val="44"/>
          <w:sz w:val="32"/>
          <w:szCs w:val="32"/>
        </w:rPr>
      </w:pPr>
      <w:bookmarkStart w:id="415" w:name="_Toc344"/>
      <w:bookmarkStart w:id="416" w:name="_Toc138689403"/>
      <w:bookmarkStart w:id="417" w:name="_Toc26656996"/>
      <w:r>
        <w:rPr>
          <w:b/>
          <w:bCs/>
          <w:kern w:val="44"/>
          <w:sz w:val="32"/>
          <w:szCs w:val="32"/>
        </w:rPr>
        <w:t>第三章 评标办法</w:t>
      </w:r>
      <w:bookmarkEnd w:id="415"/>
      <w:bookmarkEnd w:id="416"/>
    </w:p>
    <w:p>
      <w:pPr>
        <w:keepNext/>
        <w:keepLines/>
        <w:spacing w:beforeLines="100" w:afterLines="100"/>
        <w:ind w:firstLine="0" w:firstLineChars="0"/>
        <w:jc w:val="center"/>
        <w:outlineLvl w:val="0"/>
        <w:rPr>
          <w:b/>
          <w:bCs/>
          <w:kern w:val="44"/>
          <w:sz w:val="32"/>
          <w:szCs w:val="32"/>
        </w:rPr>
      </w:pPr>
      <w:bookmarkStart w:id="418" w:name="_Toc138689404"/>
      <w:bookmarkStart w:id="419" w:name="_Toc22694"/>
      <w:r>
        <w:rPr>
          <w:b/>
          <w:bCs/>
          <w:kern w:val="44"/>
          <w:sz w:val="32"/>
          <w:szCs w:val="32"/>
        </w:rPr>
        <w:t>（技术评分最低标价法）</w:t>
      </w:r>
      <w:bookmarkEnd w:id="418"/>
      <w:bookmarkEnd w:id="419"/>
    </w:p>
    <w:p>
      <w:pPr>
        <w:keepNext/>
        <w:keepLines/>
        <w:spacing w:beforeLines="100" w:afterLines="100"/>
        <w:ind w:firstLine="0" w:firstLineChars="0"/>
        <w:jc w:val="center"/>
        <w:outlineLvl w:val="1"/>
        <w:rPr>
          <w:rFonts w:eastAsia="黑体"/>
          <w:sz w:val="32"/>
          <w:szCs w:val="32"/>
        </w:rPr>
      </w:pPr>
      <w:bookmarkStart w:id="420" w:name="_Toc13252"/>
      <w:bookmarkStart w:id="421" w:name="_Toc138689405"/>
      <w:r>
        <w:rPr>
          <w:rFonts w:eastAsia="黑体"/>
          <w:sz w:val="32"/>
          <w:szCs w:val="32"/>
        </w:rPr>
        <w:t>评标办法前附表</w:t>
      </w:r>
      <w:bookmarkEnd w:id="420"/>
      <w:bookmarkEnd w:id="421"/>
    </w:p>
    <w:tbl>
      <w:tblPr>
        <w:tblStyle w:val="56"/>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7"/>
        <w:gridCol w:w="1693"/>
        <w:gridCol w:w="5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3" w:type="pct"/>
            <w:vAlign w:val="center"/>
          </w:tcPr>
          <w:p>
            <w:pPr>
              <w:widowControl/>
              <w:spacing w:line="360" w:lineRule="auto"/>
              <w:ind w:firstLine="0" w:firstLineChars="0"/>
              <w:jc w:val="center"/>
              <w:rPr>
                <w:kern w:val="0"/>
                <w:sz w:val="21"/>
                <w:szCs w:val="21"/>
              </w:rPr>
            </w:pPr>
            <w:r>
              <w:rPr>
                <w:b/>
                <w:bCs/>
                <w:kern w:val="0"/>
                <w:sz w:val="21"/>
                <w:szCs w:val="21"/>
              </w:rPr>
              <w:t>条款号</w:t>
            </w:r>
          </w:p>
        </w:tc>
        <w:tc>
          <w:tcPr>
            <w:tcW w:w="1003" w:type="pct"/>
            <w:vAlign w:val="center"/>
          </w:tcPr>
          <w:p>
            <w:pPr>
              <w:widowControl/>
              <w:spacing w:line="360" w:lineRule="auto"/>
              <w:ind w:firstLine="0" w:firstLineChars="0"/>
              <w:jc w:val="center"/>
              <w:rPr>
                <w:kern w:val="0"/>
                <w:sz w:val="21"/>
                <w:szCs w:val="21"/>
              </w:rPr>
            </w:pPr>
            <w:r>
              <w:rPr>
                <w:b/>
                <w:bCs/>
                <w:kern w:val="0"/>
                <w:sz w:val="21"/>
                <w:szCs w:val="21"/>
              </w:rPr>
              <w:t>评审因素</w:t>
            </w:r>
          </w:p>
        </w:tc>
        <w:tc>
          <w:tcPr>
            <w:tcW w:w="3073" w:type="pct"/>
            <w:vAlign w:val="center"/>
          </w:tcPr>
          <w:p>
            <w:pPr>
              <w:widowControl/>
              <w:spacing w:line="360" w:lineRule="auto"/>
              <w:ind w:firstLine="0" w:firstLineChars="0"/>
              <w:jc w:val="center"/>
              <w:rPr>
                <w:kern w:val="0"/>
                <w:sz w:val="21"/>
                <w:szCs w:val="21"/>
              </w:rPr>
            </w:pPr>
            <w:r>
              <w:rPr>
                <w:b/>
                <w:bCs/>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3" w:type="pct"/>
            <w:vAlign w:val="center"/>
          </w:tcPr>
          <w:p>
            <w:pPr>
              <w:widowControl/>
              <w:spacing w:line="360" w:lineRule="auto"/>
              <w:ind w:firstLine="0" w:firstLineChars="0"/>
              <w:jc w:val="center"/>
              <w:rPr>
                <w:bCs/>
                <w:kern w:val="0"/>
                <w:sz w:val="21"/>
                <w:szCs w:val="21"/>
              </w:rPr>
            </w:pPr>
            <w:r>
              <w:rPr>
                <w:rFonts w:hint="eastAsia"/>
                <w:bCs/>
                <w:kern w:val="0"/>
                <w:sz w:val="21"/>
                <w:szCs w:val="21"/>
              </w:rPr>
              <w:t>1.3</w:t>
            </w:r>
          </w:p>
        </w:tc>
        <w:tc>
          <w:tcPr>
            <w:tcW w:w="1003"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中标候选人排序方法</w:t>
            </w:r>
          </w:p>
        </w:tc>
        <w:tc>
          <w:tcPr>
            <w:tcW w:w="3073" w:type="pct"/>
            <w:tcMar>
              <w:left w:w="75" w:type="dxa"/>
            </w:tcMar>
            <w:vAlign w:val="center"/>
          </w:tcPr>
          <w:p>
            <w:pPr>
              <w:widowControl/>
              <w:spacing w:line="360" w:lineRule="auto"/>
              <w:ind w:firstLine="0" w:firstLineChars="0"/>
              <w:jc w:val="left"/>
              <w:rPr>
                <w:kern w:val="0"/>
                <w:sz w:val="21"/>
                <w:szCs w:val="21"/>
              </w:rPr>
            </w:pPr>
            <w:r>
              <w:rPr>
                <w:rFonts w:hint="eastAsia"/>
                <w:kern w:val="0"/>
                <w:sz w:val="21"/>
                <w:szCs w:val="21"/>
              </w:rPr>
              <w:t>评标价相同的以商务及技术得分较高的优先，商务及技术得分相同的，由评标委员会投票，按少数服从多数的原则确定中标候选人顺序。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3" w:type="pct"/>
            <w:vAlign w:val="center"/>
          </w:tcPr>
          <w:p>
            <w:pPr>
              <w:widowControl/>
              <w:spacing w:line="360" w:lineRule="auto"/>
              <w:ind w:firstLine="0" w:firstLineChars="0"/>
              <w:jc w:val="center"/>
              <w:rPr>
                <w:bCs/>
                <w:kern w:val="0"/>
                <w:sz w:val="21"/>
                <w:szCs w:val="21"/>
              </w:rPr>
            </w:pPr>
            <w:r>
              <w:rPr>
                <w:rFonts w:hint="eastAsia"/>
                <w:bCs/>
                <w:kern w:val="0"/>
                <w:sz w:val="21"/>
                <w:szCs w:val="21"/>
              </w:rPr>
              <w:t>1.4</w:t>
            </w:r>
          </w:p>
        </w:tc>
        <w:tc>
          <w:tcPr>
            <w:tcW w:w="1003" w:type="pct"/>
            <w:tcMar>
              <w:left w:w="75" w:type="dxa"/>
            </w:tcMar>
            <w:vAlign w:val="center"/>
          </w:tcPr>
          <w:p>
            <w:pPr>
              <w:widowControl/>
              <w:spacing w:line="360" w:lineRule="auto"/>
              <w:ind w:firstLine="0" w:firstLineChars="0"/>
              <w:jc w:val="center"/>
              <w:rPr>
                <w:kern w:val="0"/>
                <w:sz w:val="21"/>
                <w:szCs w:val="21"/>
              </w:rPr>
            </w:pPr>
            <w:r>
              <w:rPr>
                <w:rFonts w:hint="eastAsia"/>
                <w:kern w:val="0"/>
                <w:sz w:val="21"/>
                <w:szCs w:val="21"/>
              </w:rPr>
              <w:t>评标</w:t>
            </w:r>
            <w:r>
              <w:rPr>
                <w:kern w:val="0"/>
                <w:sz w:val="21"/>
                <w:szCs w:val="21"/>
              </w:rPr>
              <w:t>的先后顺序</w:t>
            </w:r>
          </w:p>
        </w:tc>
        <w:tc>
          <w:tcPr>
            <w:tcW w:w="3073" w:type="pct"/>
            <w:tcMar>
              <w:left w:w="75" w:type="dxa"/>
            </w:tcMar>
            <w:vAlign w:val="center"/>
          </w:tcPr>
          <w:p>
            <w:pPr>
              <w:widowControl/>
              <w:spacing w:line="360" w:lineRule="auto"/>
              <w:ind w:firstLine="0" w:firstLineChars="0"/>
              <w:jc w:val="left"/>
              <w:rPr>
                <w:bCs/>
                <w:snapToGrid w:val="0"/>
                <w:kern w:val="0"/>
                <w:sz w:val="21"/>
                <w:szCs w:val="21"/>
              </w:rPr>
            </w:pPr>
            <w:r>
              <w:rPr>
                <w:rFonts w:hint="eastAsia" w:cs="宋体"/>
                <w:kern w:val="0"/>
                <w:sz w:val="21"/>
                <w:szCs w:val="21"/>
                <w:u w:val="none"/>
              </w:rPr>
              <w:t>仅适用于多标段项目（本招标项目仅1个标段，本条不适用）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3" w:type="pct"/>
            <w:vAlign w:val="center"/>
          </w:tcPr>
          <w:p>
            <w:pPr>
              <w:widowControl/>
              <w:spacing w:line="360" w:lineRule="auto"/>
              <w:ind w:firstLine="0" w:firstLineChars="0"/>
              <w:jc w:val="center"/>
              <w:rPr>
                <w:bCs/>
                <w:kern w:val="0"/>
                <w:sz w:val="21"/>
                <w:szCs w:val="21"/>
              </w:rPr>
            </w:pPr>
            <w:r>
              <w:rPr>
                <w:rFonts w:hint="eastAsia"/>
                <w:bCs/>
                <w:kern w:val="0"/>
                <w:sz w:val="21"/>
                <w:szCs w:val="21"/>
              </w:rPr>
              <w:t>1.4</w:t>
            </w:r>
          </w:p>
        </w:tc>
        <w:tc>
          <w:tcPr>
            <w:tcW w:w="1003" w:type="pct"/>
            <w:tcMar>
              <w:left w:w="75" w:type="dxa"/>
            </w:tcMar>
            <w:vAlign w:val="center"/>
          </w:tcPr>
          <w:p>
            <w:pPr>
              <w:widowControl/>
              <w:spacing w:line="360" w:lineRule="auto"/>
              <w:ind w:firstLine="0" w:firstLineChars="0"/>
              <w:jc w:val="center"/>
              <w:rPr>
                <w:kern w:val="0"/>
                <w:sz w:val="21"/>
                <w:szCs w:val="21"/>
              </w:rPr>
            </w:pPr>
            <w:r>
              <w:rPr>
                <w:kern w:val="0"/>
                <w:sz w:val="21"/>
                <w:szCs w:val="21"/>
              </w:rPr>
              <w:t>最多可中标段数量</w:t>
            </w:r>
          </w:p>
        </w:tc>
        <w:tc>
          <w:tcPr>
            <w:tcW w:w="3073" w:type="pct"/>
            <w:tcMar>
              <w:left w:w="75" w:type="dxa"/>
            </w:tcMar>
            <w:vAlign w:val="center"/>
          </w:tcPr>
          <w:p>
            <w:pPr>
              <w:widowControl/>
              <w:spacing w:line="360" w:lineRule="auto"/>
              <w:ind w:firstLine="0" w:firstLineChars="0"/>
              <w:jc w:val="left"/>
              <w:rPr>
                <w:kern w:val="0"/>
                <w:sz w:val="21"/>
                <w:szCs w:val="21"/>
              </w:rPr>
            </w:pPr>
            <w:r>
              <w:rPr>
                <w:rFonts w:hint="eastAsia" w:cs="宋体"/>
                <w:kern w:val="0"/>
                <w:sz w:val="21"/>
                <w:szCs w:val="21"/>
                <w:u w:val="none"/>
              </w:rPr>
              <w:t>仅适用于多标段项目（本招标项目仅1个标段，本条不适用）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3" w:type="pct"/>
            <w:vAlign w:val="center"/>
          </w:tcPr>
          <w:p>
            <w:pPr>
              <w:widowControl/>
              <w:spacing w:line="360" w:lineRule="auto"/>
              <w:ind w:firstLine="0" w:firstLineChars="0"/>
              <w:jc w:val="center"/>
              <w:rPr>
                <w:bCs/>
                <w:kern w:val="0"/>
                <w:sz w:val="21"/>
                <w:szCs w:val="21"/>
              </w:rPr>
            </w:pPr>
            <w:r>
              <w:rPr>
                <w:rFonts w:hint="eastAsia"/>
                <w:bCs/>
                <w:kern w:val="0"/>
                <w:sz w:val="21"/>
                <w:szCs w:val="21"/>
              </w:rPr>
              <w:t>2.1</w:t>
            </w:r>
          </w:p>
        </w:tc>
        <w:tc>
          <w:tcPr>
            <w:tcW w:w="1003" w:type="pct"/>
            <w:tcMar>
              <w:left w:w="75" w:type="dxa"/>
            </w:tcMar>
            <w:vAlign w:val="center"/>
          </w:tcPr>
          <w:p>
            <w:pPr>
              <w:widowControl/>
              <w:spacing w:line="360" w:lineRule="auto"/>
              <w:ind w:firstLine="0" w:firstLineChars="0"/>
              <w:jc w:val="center"/>
              <w:rPr>
                <w:kern w:val="0"/>
                <w:sz w:val="21"/>
                <w:szCs w:val="21"/>
              </w:rPr>
            </w:pPr>
            <w:r>
              <w:rPr>
                <w:kern w:val="0"/>
                <w:sz w:val="21"/>
                <w:szCs w:val="21"/>
              </w:rPr>
              <w:t>初步评审标准</w:t>
            </w:r>
          </w:p>
        </w:tc>
        <w:tc>
          <w:tcPr>
            <w:tcW w:w="3073" w:type="pct"/>
            <w:tcMar>
              <w:left w:w="75" w:type="dxa"/>
            </w:tcMar>
            <w:vAlign w:val="center"/>
          </w:tcPr>
          <w:p>
            <w:pPr>
              <w:widowControl/>
              <w:spacing w:line="360" w:lineRule="auto"/>
              <w:ind w:firstLine="0" w:firstLineChars="0"/>
              <w:jc w:val="left"/>
              <w:rPr>
                <w:sz w:val="21"/>
                <w:szCs w:val="21"/>
              </w:rPr>
            </w:pPr>
            <w:r>
              <w:rPr>
                <w:sz w:val="21"/>
                <w:szCs w:val="21"/>
              </w:rPr>
              <w:t>见</w:t>
            </w:r>
            <w:r>
              <w:rPr>
                <w:rFonts w:hint="eastAsia" w:ascii="宋体" w:hAnsi="宋体" w:cs="宋体"/>
                <w:sz w:val="21"/>
                <w:szCs w:val="21"/>
              </w:rPr>
              <w:t>“商务文件、技术文件初步评审标准”表、“报价文件初步评审标准”表</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3" w:type="pct"/>
            <w:vAlign w:val="center"/>
          </w:tcPr>
          <w:p>
            <w:pPr>
              <w:widowControl/>
              <w:spacing w:line="360" w:lineRule="auto"/>
              <w:ind w:firstLine="0" w:firstLineChars="0"/>
              <w:jc w:val="center"/>
              <w:rPr>
                <w:bCs/>
                <w:kern w:val="0"/>
                <w:sz w:val="21"/>
                <w:szCs w:val="21"/>
              </w:rPr>
            </w:pPr>
            <w:r>
              <w:rPr>
                <w:rFonts w:hint="eastAsia"/>
                <w:bCs/>
                <w:kern w:val="0"/>
                <w:sz w:val="21"/>
                <w:szCs w:val="21"/>
              </w:rPr>
              <w:t>2.2</w:t>
            </w:r>
          </w:p>
        </w:tc>
        <w:tc>
          <w:tcPr>
            <w:tcW w:w="1003" w:type="pct"/>
            <w:tcMar>
              <w:left w:w="75" w:type="dxa"/>
            </w:tcMar>
            <w:vAlign w:val="center"/>
          </w:tcPr>
          <w:p>
            <w:pPr>
              <w:widowControl/>
              <w:spacing w:line="360" w:lineRule="auto"/>
              <w:ind w:firstLine="0" w:firstLineChars="0"/>
              <w:jc w:val="center"/>
              <w:rPr>
                <w:kern w:val="0"/>
                <w:sz w:val="21"/>
                <w:szCs w:val="21"/>
              </w:rPr>
            </w:pPr>
            <w:r>
              <w:rPr>
                <w:kern w:val="0"/>
                <w:sz w:val="21"/>
                <w:szCs w:val="21"/>
              </w:rPr>
              <w:t>详细评审标准</w:t>
            </w:r>
          </w:p>
        </w:tc>
        <w:tc>
          <w:tcPr>
            <w:tcW w:w="3073" w:type="pct"/>
            <w:tcMar>
              <w:left w:w="75" w:type="dxa"/>
            </w:tcMar>
            <w:vAlign w:val="center"/>
          </w:tcPr>
          <w:p>
            <w:pPr>
              <w:widowControl/>
              <w:spacing w:line="360" w:lineRule="auto"/>
              <w:ind w:firstLine="0" w:firstLineChars="0"/>
              <w:jc w:val="left"/>
              <w:rPr>
                <w:sz w:val="21"/>
                <w:szCs w:val="21"/>
              </w:rPr>
            </w:pPr>
            <w:r>
              <w:rPr>
                <w:sz w:val="21"/>
                <w:szCs w:val="21"/>
              </w:rPr>
              <w:t>见</w:t>
            </w:r>
            <w:r>
              <w:rPr>
                <w:rFonts w:hint="eastAsia"/>
                <w:sz w:val="21"/>
                <w:szCs w:val="21"/>
              </w:rPr>
              <w:t>“商务、技术、报价文件详细评审标准”表。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3" w:type="pct"/>
            <w:vAlign w:val="center"/>
          </w:tcPr>
          <w:p>
            <w:pPr>
              <w:widowControl/>
              <w:spacing w:line="360" w:lineRule="auto"/>
              <w:ind w:firstLine="0" w:firstLineChars="0"/>
              <w:jc w:val="center"/>
              <w:rPr>
                <w:bCs/>
                <w:kern w:val="0"/>
                <w:sz w:val="21"/>
                <w:szCs w:val="21"/>
              </w:rPr>
            </w:pPr>
            <w:r>
              <w:rPr>
                <w:bCs/>
                <w:kern w:val="0"/>
                <w:sz w:val="21"/>
                <w:szCs w:val="21"/>
              </w:rPr>
              <w:t>2.2.2（</w:t>
            </w:r>
            <w:r>
              <w:rPr>
                <w:rFonts w:hint="eastAsia"/>
                <w:bCs/>
                <w:kern w:val="0"/>
                <w:sz w:val="21"/>
                <w:szCs w:val="21"/>
              </w:rPr>
              <w:t>1</w:t>
            </w:r>
            <w:r>
              <w:rPr>
                <w:bCs/>
                <w:kern w:val="0"/>
                <w:sz w:val="21"/>
                <w:szCs w:val="21"/>
              </w:rPr>
              <w:t>）</w:t>
            </w:r>
          </w:p>
        </w:tc>
        <w:tc>
          <w:tcPr>
            <w:tcW w:w="1003" w:type="pct"/>
            <w:tcMar>
              <w:left w:w="75" w:type="dxa"/>
            </w:tcMar>
            <w:vAlign w:val="center"/>
          </w:tcPr>
          <w:p>
            <w:pPr>
              <w:widowControl/>
              <w:spacing w:line="360" w:lineRule="auto"/>
              <w:ind w:firstLine="0" w:firstLineChars="0"/>
              <w:jc w:val="center"/>
              <w:rPr>
                <w:kern w:val="0"/>
                <w:sz w:val="21"/>
                <w:szCs w:val="21"/>
              </w:rPr>
            </w:pPr>
            <w:r>
              <w:rPr>
                <w:sz w:val="21"/>
                <w:szCs w:val="21"/>
              </w:rPr>
              <w:t>技术文件详细评审得分计算规则</w:t>
            </w:r>
          </w:p>
        </w:tc>
        <w:tc>
          <w:tcPr>
            <w:tcW w:w="3073" w:type="pct"/>
            <w:tcMar>
              <w:left w:w="75" w:type="dxa"/>
            </w:tcMar>
            <w:vAlign w:val="center"/>
          </w:tcPr>
          <w:p>
            <w:pPr>
              <w:widowControl/>
              <w:spacing w:line="360" w:lineRule="auto"/>
              <w:ind w:firstLine="0" w:firstLineChars="0"/>
              <w:jc w:val="left"/>
              <w:rPr>
                <w:kern w:val="0"/>
                <w:sz w:val="21"/>
                <w:szCs w:val="21"/>
              </w:rPr>
            </w:pPr>
            <w:r>
              <w:rPr>
                <w:sz w:val="21"/>
                <w:szCs w:val="21"/>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3" w:type="pct"/>
            <w:vAlign w:val="center"/>
          </w:tcPr>
          <w:p>
            <w:pPr>
              <w:widowControl/>
              <w:spacing w:line="360" w:lineRule="auto"/>
              <w:ind w:firstLine="0" w:firstLineChars="0"/>
              <w:jc w:val="center"/>
              <w:rPr>
                <w:bCs/>
                <w:kern w:val="0"/>
                <w:sz w:val="21"/>
                <w:szCs w:val="21"/>
              </w:rPr>
            </w:pPr>
            <w:r>
              <w:rPr>
                <w:bCs/>
                <w:kern w:val="0"/>
                <w:sz w:val="21"/>
                <w:szCs w:val="21"/>
              </w:rPr>
              <w:t>3.7</w:t>
            </w:r>
          </w:p>
        </w:tc>
        <w:tc>
          <w:tcPr>
            <w:tcW w:w="1003" w:type="pct"/>
            <w:tcMar>
              <w:left w:w="75" w:type="dxa"/>
            </w:tcMar>
            <w:vAlign w:val="center"/>
          </w:tcPr>
          <w:p>
            <w:pPr>
              <w:widowControl/>
              <w:spacing w:line="360" w:lineRule="auto"/>
              <w:ind w:firstLine="0" w:firstLineChars="0"/>
              <w:jc w:val="center"/>
              <w:rPr>
                <w:kern w:val="0"/>
                <w:sz w:val="21"/>
                <w:szCs w:val="21"/>
              </w:rPr>
            </w:pPr>
            <w:r>
              <w:rPr>
                <w:bCs/>
                <w:sz w:val="21"/>
                <w:szCs w:val="21"/>
              </w:rPr>
              <w:t>否决投标的其他情形</w:t>
            </w:r>
          </w:p>
        </w:tc>
        <w:tc>
          <w:tcPr>
            <w:tcW w:w="3073" w:type="pct"/>
            <w:tcMar>
              <w:left w:w="75" w:type="dxa"/>
            </w:tcMar>
            <w:vAlign w:val="center"/>
          </w:tcPr>
          <w:p>
            <w:pPr>
              <w:widowControl/>
              <w:spacing w:line="360" w:lineRule="auto"/>
              <w:ind w:firstLine="0" w:firstLineChars="0"/>
              <w:jc w:val="left"/>
              <w:rPr>
                <w:kern w:val="0"/>
                <w:sz w:val="21"/>
                <w:szCs w:val="21"/>
              </w:rPr>
            </w:pPr>
            <w:r>
              <w:rPr>
                <w:sz w:val="21"/>
                <w:szCs w:val="21"/>
              </w:rPr>
              <w:t>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3" w:type="pct"/>
            <w:vAlign w:val="center"/>
          </w:tcPr>
          <w:p>
            <w:pPr>
              <w:widowControl/>
              <w:spacing w:line="360" w:lineRule="auto"/>
              <w:ind w:firstLine="0" w:firstLineChars="0"/>
              <w:jc w:val="center"/>
              <w:rPr>
                <w:bCs/>
                <w:kern w:val="0"/>
                <w:sz w:val="21"/>
                <w:szCs w:val="21"/>
              </w:rPr>
            </w:pPr>
            <w:r>
              <w:rPr>
                <w:rFonts w:hint="eastAsia"/>
                <w:bCs/>
                <w:kern w:val="0"/>
                <w:sz w:val="21"/>
                <w:szCs w:val="21"/>
              </w:rPr>
              <w:t>3.7.4</w:t>
            </w:r>
          </w:p>
        </w:tc>
        <w:tc>
          <w:tcPr>
            <w:tcW w:w="1003" w:type="pct"/>
            <w:tcMar>
              <w:left w:w="75" w:type="dxa"/>
            </w:tcMar>
            <w:vAlign w:val="center"/>
          </w:tcPr>
          <w:p>
            <w:pPr>
              <w:widowControl/>
              <w:spacing w:line="360" w:lineRule="auto"/>
              <w:ind w:firstLine="0" w:firstLineChars="0"/>
              <w:jc w:val="center"/>
              <w:rPr>
                <w:bCs/>
                <w:sz w:val="21"/>
                <w:szCs w:val="21"/>
              </w:rPr>
            </w:pPr>
            <w:r>
              <w:rPr>
                <w:kern w:val="0"/>
                <w:sz w:val="21"/>
                <w:szCs w:val="21"/>
              </w:rPr>
              <w:t>异常低价评审</w:t>
            </w:r>
          </w:p>
        </w:tc>
        <w:tc>
          <w:tcPr>
            <w:tcW w:w="3073" w:type="pct"/>
            <w:tcMar>
              <w:left w:w="75" w:type="dxa"/>
            </w:tcMar>
            <w:vAlign w:val="center"/>
          </w:tcPr>
          <w:p>
            <w:pPr>
              <w:widowControl/>
              <w:spacing w:line="360" w:lineRule="auto"/>
              <w:ind w:firstLine="0" w:firstLineChars="0"/>
              <w:jc w:val="left"/>
              <w:rPr>
                <w:sz w:val="21"/>
                <w:szCs w:val="21"/>
              </w:rPr>
            </w:pPr>
            <w:r>
              <w:rPr>
                <w:rFonts w:hint="eastAsia" w:ascii="MS Mincho" w:hAnsi="MS Mincho" w:cs="MS Mincho"/>
                <w:sz w:val="21"/>
                <w:szCs w:val="21"/>
              </w:rPr>
              <w:t>☑</w:t>
            </w:r>
            <w:r>
              <w:rPr>
                <w:sz w:val="21"/>
                <w:szCs w:val="21"/>
              </w:rPr>
              <w:t>不执行</w:t>
            </w:r>
          </w:p>
          <w:p>
            <w:pPr>
              <w:widowControl/>
              <w:spacing w:line="360" w:lineRule="auto"/>
              <w:ind w:firstLine="0" w:firstLineChars="0"/>
              <w:jc w:val="left"/>
              <w:rPr>
                <w:sz w:val="21"/>
                <w:szCs w:val="21"/>
              </w:rPr>
            </w:pPr>
            <w:r>
              <w:rPr>
                <w:sz w:val="21"/>
                <w:szCs w:val="21"/>
              </w:rPr>
              <w:sym w:font="Wingdings 2" w:char="00A3"/>
            </w:r>
            <w:r>
              <w:rPr>
                <w:sz w:val="21"/>
                <w:szCs w:val="21"/>
              </w:rPr>
              <w:t>执行，异常低价规定指标：</w:t>
            </w:r>
            <w:r>
              <w:rPr>
                <w:sz w:val="21"/>
                <w:szCs w:val="21"/>
                <w:u w:val="single"/>
              </w:rPr>
              <w:t xml:space="preserve">   </w:t>
            </w:r>
            <w:r>
              <w:rPr>
                <w:rFonts w:hint="eastAsia"/>
                <w:sz w:val="21"/>
                <w:szCs w:val="21"/>
                <w:u w:val="single"/>
              </w:rPr>
              <w:t>/</w:t>
            </w:r>
            <w:r>
              <w:rPr>
                <w:sz w:val="21"/>
                <w:szCs w:val="21"/>
                <w:u w:val="single"/>
              </w:rPr>
              <w:t xml:space="preserve">   </w:t>
            </w:r>
            <w:r>
              <w:rPr>
                <w:sz w:val="21"/>
                <w:szCs w:val="21"/>
              </w:rPr>
              <w:t>，具体见附件3。</w:t>
            </w:r>
          </w:p>
        </w:tc>
      </w:tr>
    </w:tbl>
    <w:p>
      <w:pPr>
        <w:spacing w:line="360" w:lineRule="auto"/>
        <w:ind w:firstLine="480"/>
        <w:rPr>
          <w:sz w:val="21"/>
          <w:szCs w:val="21"/>
        </w:rPr>
      </w:pPr>
      <w:r>
        <w:rPr>
          <w:sz w:val="21"/>
          <w:szCs w:val="21"/>
        </w:rPr>
        <w:br w:type="page"/>
      </w:r>
    </w:p>
    <w:p>
      <w:pPr>
        <w:keepNext/>
        <w:keepLines/>
        <w:spacing w:beforeLines="100" w:afterLines="100"/>
        <w:ind w:firstLine="0" w:firstLineChars="0"/>
        <w:jc w:val="center"/>
        <w:outlineLvl w:val="1"/>
        <w:rPr>
          <w:rFonts w:hint="eastAsia" w:ascii="Cambria" w:hAnsi="Cambria" w:eastAsia="黑体"/>
          <w:sz w:val="32"/>
          <w:szCs w:val="40"/>
        </w:rPr>
      </w:pPr>
      <w:bookmarkStart w:id="422" w:name="_Toc21452"/>
      <w:bookmarkStart w:id="423" w:name="_Toc138689406"/>
      <w:r>
        <w:rPr>
          <w:rFonts w:hint="eastAsia" w:ascii="Cambria" w:hAnsi="Cambria" w:eastAsia="黑体"/>
          <w:sz w:val="32"/>
          <w:szCs w:val="40"/>
        </w:rPr>
        <w:t>商务文件、技术文件初步评审标准</w:t>
      </w:r>
      <w:bookmarkEnd w:id="422"/>
      <w:bookmarkEnd w:id="423"/>
    </w:p>
    <w:tbl>
      <w:tblPr>
        <w:tblStyle w:val="56"/>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1097"/>
        <w:gridCol w:w="1679"/>
        <w:gridCol w:w="4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5" w:type="pct"/>
            <w:gridSpan w:val="2"/>
            <w:vAlign w:val="center"/>
          </w:tcPr>
          <w:p>
            <w:pPr>
              <w:widowControl/>
              <w:spacing w:line="360" w:lineRule="auto"/>
              <w:ind w:firstLine="0" w:firstLineChars="0"/>
              <w:jc w:val="center"/>
              <w:rPr>
                <w:kern w:val="0"/>
                <w:sz w:val="21"/>
                <w:szCs w:val="21"/>
              </w:rPr>
            </w:pPr>
            <w:r>
              <w:rPr>
                <w:b/>
                <w:bCs/>
                <w:kern w:val="0"/>
                <w:sz w:val="21"/>
                <w:szCs w:val="21"/>
              </w:rPr>
              <w:t>条款号</w:t>
            </w:r>
          </w:p>
        </w:tc>
        <w:tc>
          <w:tcPr>
            <w:tcW w:w="1001" w:type="pct"/>
            <w:vAlign w:val="center"/>
          </w:tcPr>
          <w:p>
            <w:pPr>
              <w:widowControl/>
              <w:spacing w:line="360" w:lineRule="auto"/>
              <w:ind w:firstLine="0" w:firstLineChars="0"/>
              <w:jc w:val="center"/>
              <w:rPr>
                <w:kern w:val="0"/>
                <w:sz w:val="21"/>
                <w:szCs w:val="21"/>
              </w:rPr>
            </w:pPr>
            <w:r>
              <w:rPr>
                <w:b/>
                <w:bCs/>
                <w:kern w:val="0"/>
                <w:sz w:val="21"/>
                <w:szCs w:val="21"/>
              </w:rPr>
              <w:t>评审因素</w:t>
            </w:r>
          </w:p>
        </w:tc>
        <w:tc>
          <w:tcPr>
            <w:tcW w:w="2942" w:type="pct"/>
            <w:vAlign w:val="center"/>
          </w:tcPr>
          <w:p>
            <w:pPr>
              <w:widowControl/>
              <w:spacing w:line="360" w:lineRule="auto"/>
              <w:ind w:firstLine="0" w:firstLineChars="0"/>
              <w:jc w:val="center"/>
              <w:rPr>
                <w:kern w:val="0"/>
                <w:sz w:val="21"/>
                <w:szCs w:val="21"/>
              </w:rPr>
            </w:pPr>
            <w:r>
              <w:rPr>
                <w:b/>
                <w:bCs/>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restart"/>
            <w:vAlign w:val="center"/>
          </w:tcPr>
          <w:p>
            <w:pPr>
              <w:widowControl/>
              <w:adjustRightInd w:val="0"/>
              <w:snapToGrid w:val="0"/>
              <w:spacing w:line="360" w:lineRule="auto"/>
              <w:ind w:firstLine="0" w:firstLineChars="0"/>
              <w:jc w:val="center"/>
              <w:rPr>
                <w:kern w:val="0"/>
                <w:sz w:val="21"/>
                <w:szCs w:val="21"/>
              </w:rPr>
            </w:pPr>
            <w:r>
              <w:rPr>
                <w:kern w:val="0"/>
                <w:sz w:val="21"/>
                <w:szCs w:val="21"/>
              </w:rPr>
              <w:t>2.1.1</w:t>
            </w:r>
          </w:p>
        </w:tc>
        <w:tc>
          <w:tcPr>
            <w:tcW w:w="654" w:type="pct"/>
            <w:vMerge w:val="restart"/>
            <w:vAlign w:val="center"/>
          </w:tcPr>
          <w:p>
            <w:pPr>
              <w:widowControl/>
              <w:adjustRightInd w:val="0"/>
              <w:snapToGrid w:val="0"/>
              <w:spacing w:line="360" w:lineRule="auto"/>
              <w:ind w:firstLine="0" w:firstLineChars="0"/>
              <w:jc w:val="center"/>
              <w:rPr>
                <w:kern w:val="0"/>
                <w:sz w:val="21"/>
                <w:szCs w:val="21"/>
              </w:rPr>
            </w:pPr>
            <w:r>
              <w:rPr>
                <w:kern w:val="0"/>
                <w:sz w:val="21"/>
                <w:szCs w:val="21"/>
              </w:rPr>
              <w:t>形式评审标准</w:t>
            </w: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投标人名称</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与营业执照、资质证书、安全生产许可证一致</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投标文件格式</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符合第九</w:t>
            </w:r>
            <w:r>
              <w:rPr>
                <w:rFonts w:hint="eastAsia" w:ascii="宋体" w:hAnsi="宋体" w:cs="宋体"/>
                <w:kern w:val="0"/>
                <w:sz w:val="21"/>
                <w:szCs w:val="21"/>
              </w:rPr>
              <w:t>章“投标文件格式”</w:t>
            </w:r>
            <w:r>
              <w:rPr>
                <w:kern w:val="0"/>
                <w:sz w:val="21"/>
                <w:szCs w:val="21"/>
              </w:rPr>
              <w:t>的规定，关键字迹清晰可辨</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签字盖章</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bCs/>
                <w:kern w:val="0"/>
                <w:sz w:val="21"/>
                <w:szCs w:val="21"/>
              </w:rPr>
              <w:t>符合第二章</w:t>
            </w:r>
            <w:r>
              <w:rPr>
                <w:rFonts w:hint="eastAsia" w:ascii="宋体" w:hAnsi="宋体" w:cs="宋体"/>
                <w:bCs/>
                <w:kern w:val="0"/>
                <w:sz w:val="21"/>
                <w:szCs w:val="21"/>
              </w:rPr>
              <w:t>“投标人须知”</w:t>
            </w:r>
            <w:r>
              <w:rPr>
                <w:bCs/>
                <w:kern w:val="0"/>
                <w:sz w:val="21"/>
                <w:szCs w:val="21"/>
              </w:rPr>
              <w:t>第3.7.3项的规定</w:t>
            </w:r>
            <w:r>
              <w:rPr>
                <w:rFonts w:hint="eastAsia"/>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联合体投标人</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提交符合招标文件要求的联合体协议书，明确各方承担连带责任，并明确联合体牵头人</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未出现异常情形</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rFonts w:hint="eastAsia"/>
                <w:color w:val="auto"/>
                <w:kern w:val="0"/>
                <w:sz w:val="21"/>
                <w:szCs w:val="21"/>
                <w:lang w:val="en-US" w:eastAsia="zh-CN"/>
              </w:rPr>
              <w:t>不同投标人未出现使用相同的投标文件制作机器码进行投标的情形</w:t>
            </w:r>
            <w:r>
              <w:rPr>
                <w:rFonts w:hint="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未出现投标报价</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未出现有关投标报价的内容</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restart"/>
            <w:vAlign w:val="center"/>
          </w:tcPr>
          <w:p>
            <w:pPr>
              <w:widowControl/>
              <w:adjustRightInd w:val="0"/>
              <w:snapToGrid w:val="0"/>
              <w:spacing w:line="360" w:lineRule="auto"/>
              <w:ind w:firstLine="0" w:firstLineChars="0"/>
              <w:jc w:val="center"/>
              <w:rPr>
                <w:kern w:val="0"/>
                <w:sz w:val="21"/>
                <w:szCs w:val="21"/>
              </w:rPr>
            </w:pPr>
            <w:r>
              <w:rPr>
                <w:kern w:val="0"/>
                <w:sz w:val="21"/>
                <w:szCs w:val="21"/>
              </w:rPr>
              <w:t>2.1.2</w:t>
            </w:r>
          </w:p>
        </w:tc>
        <w:tc>
          <w:tcPr>
            <w:tcW w:w="654" w:type="pct"/>
            <w:vMerge w:val="restart"/>
            <w:vAlign w:val="center"/>
          </w:tcPr>
          <w:p>
            <w:pPr>
              <w:widowControl/>
              <w:adjustRightInd w:val="0"/>
              <w:snapToGrid w:val="0"/>
              <w:spacing w:line="360" w:lineRule="auto"/>
              <w:ind w:firstLine="0" w:firstLineChars="0"/>
              <w:jc w:val="center"/>
              <w:rPr>
                <w:kern w:val="0"/>
                <w:sz w:val="21"/>
                <w:szCs w:val="21"/>
              </w:rPr>
            </w:pPr>
            <w:r>
              <w:rPr>
                <w:kern w:val="0"/>
                <w:sz w:val="21"/>
                <w:szCs w:val="21"/>
              </w:rPr>
              <w:t>资格评审标准</w:t>
            </w: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营业执照</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kern w:val="0"/>
                <w:sz w:val="21"/>
                <w:szCs w:val="21"/>
              </w:rPr>
              <w:t>具备有效的营业执照，如为联合体投标，联合体各方均须提供</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资质等级</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kern w:val="0"/>
                <w:sz w:val="21"/>
                <w:szCs w:val="21"/>
              </w:rPr>
              <w:t>符合第二</w:t>
            </w:r>
            <w:r>
              <w:rPr>
                <w:rFonts w:hint="eastAsia" w:ascii="宋体" w:hAnsi="宋体" w:cs="宋体"/>
                <w:kern w:val="0"/>
                <w:sz w:val="21"/>
                <w:szCs w:val="21"/>
              </w:rPr>
              <w:t>章“投标人须知”</w:t>
            </w:r>
            <w:r>
              <w:rPr>
                <w:kern w:val="0"/>
                <w:sz w:val="21"/>
                <w:szCs w:val="21"/>
              </w:rPr>
              <w:t>第1.4.1项规定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安全生产许可证</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kern w:val="0"/>
                <w:sz w:val="21"/>
                <w:szCs w:val="21"/>
              </w:rPr>
              <w:t>具备有效的安全生产许可证</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财务要求</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第1.4.1项规定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投标人业绩要求</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第1.4.1项规定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信誉要求</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项目经理、项目总工资格条件</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第1.4.1项规定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项目经理、项目总工业绩要求</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第1.4.1项规定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其他资格审查条件</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第1.4.1项规定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联合体投标人</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第1.4.2项规定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不存在禁止投标的情形</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kern w:val="0"/>
                <w:sz w:val="21"/>
                <w:szCs w:val="21"/>
              </w:rPr>
              <w:t>不存在第二</w:t>
            </w:r>
            <w:r>
              <w:rPr>
                <w:rFonts w:hint="eastAsia" w:ascii="宋体" w:hAnsi="宋体" w:cs="宋体"/>
                <w:kern w:val="0"/>
                <w:sz w:val="21"/>
                <w:szCs w:val="21"/>
              </w:rPr>
              <w:t>章“投标人须知”</w:t>
            </w:r>
            <w:r>
              <w:rPr>
                <w:kern w:val="0"/>
                <w:sz w:val="21"/>
                <w:szCs w:val="21"/>
              </w:rPr>
              <w:t>第1.4.3项或第1.4.4项规定的任何一种情形，投标人应</w:t>
            </w:r>
            <w:r>
              <w:rPr>
                <w:rFonts w:hint="eastAsia"/>
                <w:kern w:val="0"/>
                <w:sz w:val="21"/>
                <w:szCs w:val="21"/>
              </w:rPr>
              <w:t>按照</w:t>
            </w:r>
            <w:r>
              <w:rPr>
                <w:kern w:val="0"/>
                <w:sz w:val="21"/>
                <w:szCs w:val="21"/>
              </w:rPr>
              <w:t>第九章投标文件格式</w:t>
            </w:r>
            <w:r>
              <w:rPr>
                <w:rFonts w:hint="eastAsia"/>
                <w:kern w:val="0"/>
                <w:sz w:val="21"/>
                <w:szCs w:val="21"/>
              </w:rPr>
              <w:t>“</w:t>
            </w:r>
            <w:r>
              <w:rPr>
                <w:kern w:val="0"/>
                <w:sz w:val="21"/>
                <w:szCs w:val="21"/>
              </w:rPr>
              <w:t>诚信投标承诺书</w:t>
            </w:r>
            <w:r>
              <w:rPr>
                <w:rFonts w:hint="eastAsia"/>
                <w:kern w:val="0"/>
                <w:sz w:val="21"/>
                <w:szCs w:val="21"/>
              </w:rPr>
              <w:t>”</w:t>
            </w:r>
            <w:r>
              <w:rPr>
                <w:kern w:val="0"/>
                <w:sz w:val="21"/>
                <w:szCs w:val="21"/>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sz w:val="21"/>
                <w:szCs w:val="21"/>
              </w:rPr>
              <w:t>公路工程施工资质企业名录情况（如有）</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sz w:val="21"/>
                <w:szCs w:val="21"/>
              </w:rPr>
              <w:t>投标人符合第二章</w:t>
            </w:r>
            <w:r>
              <w:rPr>
                <w:rFonts w:hint="eastAsia" w:ascii="宋体" w:hAnsi="宋体" w:cs="宋体"/>
                <w:sz w:val="21"/>
                <w:szCs w:val="21"/>
              </w:rPr>
              <w:t>“投标人须知”</w:t>
            </w:r>
            <w:r>
              <w:rPr>
                <w:sz w:val="21"/>
                <w:szCs w:val="21"/>
              </w:rPr>
              <w:t>第1.4.5项规定</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restart"/>
            <w:vAlign w:val="center"/>
          </w:tcPr>
          <w:p>
            <w:pPr>
              <w:widowControl/>
              <w:adjustRightInd w:val="0"/>
              <w:snapToGrid w:val="0"/>
              <w:spacing w:line="360" w:lineRule="auto"/>
              <w:ind w:firstLine="0" w:firstLineChars="0"/>
              <w:jc w:val="center"/>
              <w:rPr>
                <w:kern w:val="0"/>
                <w:sz w:val="21"/>
                <w:szCs w:val="21"/>
              </w:rPr>
            </w:pPr>
            <w:r>
              <w:rPr>
                <w:kern w:val="0"/>
                <w:sz w:val="21"/>
                <w:szCs w:val="21"/>
              </w:rPr>
              <w:t>2.1.3</w:t>
            </w:r>
          </w:p>
        </w:tc>
        <w:tc>
          <w:tcPr>
            <w:tcW w:w="654" w:type="pct"/>
            <w:vMerge w:val="restart"/>
            <w:vAlign w:val="center"/>
          </w:tcPr>
          <w:p>
            <w:pPr>
              <w:widowControl/>
              <w:adjustRightInd w:val="0"/>
              <w:snapToGrid w:val="0"/>
              <w:spacing w:line="360" w:lineRule="auto"/>
              <w:ind w:firstLine="0" w:firstLineChars="0"/>
              <w:jc w:val="center"/>
              <w:rPr>
                <w:kern w:val="0"/>
                <w:sz w:val="21"/>
                <w:szCs w:val="21"/>
              </w:rPr>
            </w:pPr>
            <w:r>
              <w:rPr>
                <w:kern w:val="0"/>
                <w:sz w:val="21"/>
                <w:szCs w:val="21"/>
              </w:rPr>
              <w:t>响应性评审标准</w:t>
            </w: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投标内容</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第1.3.1项规定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工期</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第1.3.2项规定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质量要求</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“投标人须知”第</w:t>
            </w:r>
            <w:r>
              <w:rPr>
                <w:kern w:val="0"/>
                <w:sz w:val="21"/>
                <w:szCs w:val="21"/>
              </w:rPr>
              <w:t>1.3.3项规定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安全目标</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第1.3.4项规定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投标有效期</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第3.3.1项规定</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投标保证金</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第3.4.1项规定</w:t>
            </w:r>
            <w:r>
              <w:rPr>
                <w:sz w:val="21"/>
                <w:szCs w:val="21"/>
              </w:rPr>
              <w:t>（符合免缴投标保证金的须满足免缴条件且须进行相应承诺）</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项目经理、项目总工承诺</w:t>
            </w:r>
          </w:p>
        </w:tc>
        <w:tc>
          <w:tcPr>
            <w:tcW w:w="2942" w:type="pct"/>
            <w:tcMar>
              <w:left w:w="75" w:type="dxa"/>
            </w:tcMar>
            <w:vAlign w:val="center"/>
          </w:tcPr>
          <w:p>
            <w:pPr>
              <w:adjustRightInd w:val="0"/>
              <w:snapToGrid w:val="0"/>
              <w:spacing w:line="360" w:lineRule="auto"/>
              <w:ind w:firstLine="0" w:firstLineChars="0"/>
              <w:jc w:val="left"/>
              <w:rPr>
                <w:kern w:val="0"/>
                <w:sz w:val="21"/>
                <w:szCs w:val="21"/>
              </w:rPr>
            </w:pPr>
            <w:r>
              <w:rPr>
                <w:kern w:val="0"/>
                <w:sz w:val="21"/>
                <w:szCs w:val="21"/>
              </w:rPr>
              <w:t>符合第二</w:t>
            </w:r>
            <w:r>
              <w:rPr>
                <w:rFonts w:hint="eastAsia" w:ascii="宋体" w:hAnsi="宋体" w:cs="宋体"/>
                <w:kern w:val="0"/>
                <w:sz w:val="21"/>
                <w:szCs w:val="21"/>
              </w:rPr>
              <w:t>章“投标人须知”</w:t>
            </w:r>
            <w:r>
              <w:rPr>
                <w:kern w:val="0"/>
                <w:sz w:val="21"/>
                <w:szCs w:val="21"/>
              </w:rPr>
              <w:t>第1.4.1项规定。投标人应</w:t>
            </w:r>
            <w:r>
              <w:rPr>
                <w:rFonts w:hint="eastAsia"/>
                <w:kern w:val="0"/>
                <w:sz w:val="21"/>
                <w:szCs w:val="21"/>
              </w:rPr>
              <w:t>按</w:t>
            </w:r>
            <w:r>
              <w:rPr>
                <w:rFonts w:hint="eastAsia" w:ascii="宋体" w:hAnsi="宋体" w:cs="宋体"/>
                <w:kern w:val="0"/>
                <w:sz w:val="21"/>
                <w:szCs w:val="21"/>
              </w:rPr>
              <w:t>照招标文件第九章“投标文件格式”的“项目经理、项目总工承诺”提供承诺</w:t>
            </w:r>
            <w:r>
              <w:rPr>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uto"/>
              <w:ind w:firstLine="0" w:firstLineChars="0"/>
              <w:jc w:val="center"/>
              <w:rPr>
                <w:kern w:val="0"/>
                <w:sz w:val="21"/>
                <w:szCs w:val="21"/>
              </w:rPr>
            </w:pPr>
            <w:r>
              <w:rPr>
                <w:bCs/>
                <w:kern w:val="0"/>
                <w:sz w:val="21"/>
                <w:szCs w:val="21"/>
              </w:rPr>
              <w:t>分包</w:t>
            </w:r>
          </w:p>
        </w:tc>
        <w:tc>
          <w:tcPr>
            <w:tcW w:w="2942" w:type="pct"/>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投标人</w:t>
            </w:r>
            <w:r>
              <w:rPr>
                <w:rFonts w:hint="eastAsia" w:ascii="宋体" w:hAnsi="宋体" w:cs="宋体"/>
                <w:kern w:val="0"/>
                <w:sz w:val="21"/>
                <w:szCs w:val="21"/>
              </w:rPr>
              <w:t>如有分包计划，符合招标文件第二章“投标人须知”</w:t>
            </w:r>
            <w:r>
              <w:rPr>
                <w:kern w:val="0"/>
                <w:sz w:val="21"/>
                <w:szCs w:val="21"/>
              </w:rPr>
              <w:t>第1.11款规定，且</w:t>
            </w:r>
            <w:r>
              <w:rPr>
                <w:rFonts w:hint="eastAsia"/>
                <w:kern w:val="0"/>
                <w:sz w:val="21"/>
                <w:szCs w:val="21"/>
              </w:rPr>
              <w:t>按照</w:t>
            </w:r>
            <w:r>
              <w:rPr>
                <w:kern w:val="0"/>
                <w:sz w:val="21"/>
                <w:szCs w:val="21"/>
              </w:rPr>
              <w:t>招标文件第九</w:t>
            </w:r>
            <w:r>
              <w:rPr>
                <w:rFonts w:hint="eastAsia" w:ascii="宋体" w:hAnsi="宋体" w:cs="宋体"/>
                <w:kern w:val="0"/>
                <w:sz w:val="21"/>
                <w:szCs w:val="21"/>
              </w:rPr>
              <w:t>章“投标文件格式”的要求填写了“拟分包项目情况表”</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01" w:type="pct"/>
            <w:vMerge w:val="continue"/>
            <w:vAlign w:val="center"/>
          </w:tcPr>
          <w:p>
            <w:pPr>
              <w:widowControl/>
              <w:adjustRightInd w:val="0"/>
              <w:snapToGrid w:val="0"/>
              <w:spacing w:line="360" w:lineRule="auto"/>
              <w:ind w:firstLine="0" w:firstLineChars="0"/>
              <w:jc w:val="center"/>
              <w:rPr>
                <w:kern w:val="0"/>
                <w:sz w:val="21"/>
                <w:szCs w:val="21"/>
              </w:rPr>
            </w:pPr>
          </w:p>
        </w:tc>
        <w:tc>
          <w:tcPr>
            <w:tcW w:w="654" w:type="pct"/>
            <w:vMerge w:val="continue"/>
            <w:vAlign w:val="center"/>
          </w:tcPr>
          <w:p>
            <w:pPr>
              <w:widowControl/>
              <w:adjustRightInd w:val="0"/>
              <w:snapToGrid w:val="0"/>
              <w:spacing w:line="360" w:lineRule="auto"/>
              <w:ind w:firstLine="0" w:firstLineChars="0"/>
              <w:jc w:val="center"/>
              <w:rPr>
                <w:kern w:val="0"/>
                <w:sz w:val="21"/>
                <w:szCs w:val="21"/>
              </w:rPr>
            </w:pPr>
          </w:p>
        </w:tc>
        <w:tc>
          <w:tcPr>
            <w:tcW w:w="1001" w:type="pct"/>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其他实质性要求</w:t>
            </w:r>
          </w:p>
        </w:tc>
        <w:tc>
          <w:tcPr>
            <w:tcW w:w="2942" w:type="pct"/>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符合招标文件的其他实质性要求和条件</w:t>
            </w:r>
            <w:r>
              <w:rPr>
                <w:rFonts w:hint="eastAsia"/>
                <w:kern w:val="0"/>
                <w:sz w:val="21"/>
                <w:szCs w:val="21"/>
              </w:rPr>
              <w:t>。</w:t>
            </w:r>
          </w:p>
        </w:tc>
      </w:tr>
    </w:tbl>
    <w:p>
      <w:pPr>
        <w:spacing w:line="360" w:lineRule="auto"/>
        <w:ind w:firstLine="480"/>
        <w:rPr>
          <w:rFonts w:ascii="宋体" w:hAnsi="宋体" w:cs="宋体"/>
          <w:sz w:val="21"/>
          <w:szCs w:val="21"/>
        </w:rPr>
      </w:pPr>
      <w:r>
        <w:rPr>
          <w:rFonts w:ascii="宋体" w:hAnsi="宋体" w:cs="宋体"/>
          <w:sz w:val="21"/>
          <w:szCs w:val="21"/>
        </w:rPr>
        <w:br w:type="page"/>
      </w:r>
    </w:p>
    <w:p>
      <w:pPr>
        <w:spacing w:line="360" w:lineRule="auto"/>
        <w:ind w:firstLine="480"/>
        <w:rPr>
          <w:rFonts w:ascii="宋体" w:hAnsi="宋体" w:cs="宋体"/>
          <w:sz w:val="21"/>
          <w:szCs w:val="21"/>
        </w:rPr>
      </w:pPr>
      <w:r>
        <w:rPr>
          <w:rFonts w:ascii="宋体" w:hAnsi="宋体" w:cs="宋体"/>
          <w:sz w:val="21"/>
          <w:szCs w:val="21"/>
        </w:rPr>
        <w:t>注：</w:t>
      </w:r>
    </w:p>
    <w:p>
      <w:pPr>
        <w:spacing w:line="360" w:lineRule="auto"/>
        <w:ind w:firstLine="480"/>
        <w:rPr>
          <w:sz w:val="21"/>
          <w:szCs w:val="21"/>
        </w:rPr>
      </w:pPr>
      <w:r>
        <w:rPr>
          <w:rFonts w:hint="eastAsia" w:ascii="宋体" w:hAnsi="宋体" w:cs="宋体"/>
          <w:kern w:val="0"/>
          <w:sz w:val="21"/>
          <w:szCs w:val="21"/>
        </w:rPr>
        <w:t>1.评审因素“投标人业绩”“项目经理业绩”和“项目总工业绩”，投标人应按照第九章“投标文件格式”的要求填写相应表格，并附相应业绩证明材料。</w:t>
      </w:r>
    </w:p>
    <w:p>
      <w:pPr>
        <w:spacing w:line="360" w:lineRule="auto"/>
        <w:ind w:firstLine="480"/>
        <w:rPr>
          <w:sz w:val="21"/>
          <w:szCs w:val="21"/>
        </w:rPr>
      </w:pPr>
      <w:r>
        <w:rPr>
          <w:rFonts w:hint="eastAsia" w:ascii="宋体" w:hAnsi="宋体" w:cs="宋体"/>
          <w:kern w:val="0"/>
          <w:sz w:val="21"/>
          <w:szCs w:val="21"/>
        </w:rPr>
        <w:t>2.评标委员会应按照第九章“投标文件格式”中“投标人业绩情况表（资格审查）”“项目经理业绩情况表（资格审查）”“项目总工业绩情况表（资格审查）”列明的业绩序号先后顺序依次进行评审，且仅评审“附录3 资格审查条件（业绩最低要求）”“附录5 资格审查条件（项目经理和项目总工最低要求）”规定数量的业绩，超出规定数量部分或未在表中列明的业绩均不作为资格审查投标人业绩（或项目经理业绩或项目总工业绩）予以评审。</w:t>
      </w:r>
      <w:r>
        <w:rPr>
          <w:sz w:val="21"/>
          <w:szCs w:val="21"/>
        </w:rPr>
        <w:br w:type="page"/>
      </w:r>
    </w:p>
    <w:p>
      <w:pPr>
        <w:keepNext/>
        <w:keepLines/>
        <w:spacing w:beforeLines="100" w:afterLines="100"/>
        <w:ind w:firstLine="0" w:firstLineChars="0"/>
        <w:jc w:val="center"/>
        <w:outlineLvl w:val="1"/>
        <w:rPr>
          <w:rFonts w:hint="eastAsia" w:ascii="Cambria" w:hAnsi="Cambria" w:eastAsia="黑体"/>
          <w:sz w:val="32"/>
          <w:szCs w:val="40"/>
        </w:rPr>
      </w:pPr>
      <w:bookmarkStart w:id="424" w:name="_Toc138689407"/>
      <w:bookmarkStart w:id="425" w:name="_Toc25853"/>
      <w:r>
        <w:rPr>
          <w:rFonts w:hint="eastAsia" w:ascii="Cambria" w:hAnsi="Cambria" w:eastAsia="黑体"/>
          <w:sz w:val="32"/>
          <w:szCs w:val="40"/>
        </w:rPr>
        <w:t>报价文件初步评审标准</w:t>
      </w:r>
      <w:bookmarkEnd w:id="424"/>
      <w:bookmarkEnd w:id="425"/>
    </w:p>
    <w:tbl>
      <w:tblPr>
        <w:tblStyle w:val="56"/>
        <w:tblW w:w="5019"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664"/>
        <w:gridCol w:w="1091"/>
        <w:gridCol w:w="1615"/>
        <w:gridCol w:w="497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4" w:hRule="atLeast"/>
          <w:tblHeader/>
          <w:jc w:val="center"/>
        </w:trPr>
        <w:tc>
          <w:tcPr>
            <w:tcW w:w="1051" w:type="pct"/>
            <w:gridSpan w:val="2"/>
            <w:tcBorders>
              <w:top w:val="outset" w:color="auto" w:sz="6" w:space="0"/>
              <w:left w:val="outset" w:color="auto" w:sz="6" w:space="0"/>
              <w:bottom w:val="outset" w:color="auto" w:sz="6" w:space="0"/>
              <w:right w:val="single" w:color="auto" w:sz="4" w:space="0"/>
            </w:tcBorders>
            <w:vAlign w:val="center"/>
          </w:tcPr>
          <w:p>
            <w:pPr>
              <w:widowControl/>
              <w:spacing w:line="360" w:lineRule="auto"/>
              <w:ind w:firstLine="0" w:firstLineChars="0"/>
              <w:jc w:val="center"/>
              <w:rPr>
                <w:kern w:val="0"/>
                <w:sz w:val="21"/>
                <w:szCs w:val="21"/>
              </w:rPr>
            </w:pPr>
            <w:r>
              <w:rPr>
                <w:b/>
                <w:bCs/>
                <w:kern w:val="0"/>
                <w:sz w:val="21"/>
                <w:szCs w:val="21"/>
              </w:rPr>
              <w:t>条款号</w:t>
            </w:r>
          </w:p>
        </w:tc>
        <w:tc>
          <w:tcPr>
            <w:tcW w:w="967" w:type="pct"/>
            <w:tcBorders>
              <w:top w:val="outset" w:color="auto" w:sz="6" w:space="0"/>
              <w:left w:val="single" w:color="auto" w:sz="4" w:space="0"/>
              <w:bottom w:val="outset" w:color="auto" w:sz="6" w:space="0"/>
              <w:right w:val="single" w:color="auto" w:sz="4" w:space="0"/>
            </w:tcBorders>
            <w:vAlign w:val="center"/>
          </w:tcPr>
          <w:p>
            <w:pPr>
              <w:widowControl/>
              <w:spacing w:line="360" w:lineRule="auto"/>
              <w:ind w:firstLine="0" w:firstLineChars="0"/>
              <w:jc w:val="center"/>
              <w:rPr>
                <w:kern w:val="0"/>
                <w:sz w:val="21"/>
                <w:szCs w:val="21"/>
              </w:rPr>
            </w:pPr>
            <w:r>
              <w:rPr>
                <w:b/>
                <w:bCs/>
                <w:kern w:val="0"/>
                <w:sz w:val="21"/>
                <w:szCs w:val="21"/>
              </w:rPr>
              <w:t>评审因素</w:t>
            </w:r>
          </w:p>
        </w:tc>
        <w:tc>
          <w:tcPr>
            <w:tcW w:w="2981" w:type="pct"/>
            <w:tcBorders>
              <w:top w:val="outset" w:color="auto" w:sz="6" w:space="0"/>
              <w:left w:val="single" w:color="auto" w:sz="4" w:space="0"/>
              <w:bottom w:val="outset" w:color="auto" w:sz="6" w:space="0"/>
              <w:right w:val="outset" w:color="auto" w:sz="6" w:space="0"/>
            </w:tcBorders>
            <w:vAlign w:val="center"/>
          </w:tcPr>
          <w:p>
            <w:pPr>
              <w:widowControl/>
              <w:spacing w:line="360" w:lineRule="auto"/>
              <w:ind w:firstLine="0" w:firstLineChars="0"/>
              <w:jc w:val="center"/>
              <w:rPr>
                <w:kern w:val="0"/>
                <w:sz w:val="21"/>
                <w:szCs w:val="21"/>
              </w:rPr>
            </w:pPr>
            <w:r>
              <w:rPr>
                <w:b/>
                <w:bCs/>
                <w:kern w:val="0"/>
                <w:sz w:val="21"/>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398" w:type="pct"/>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ind w:firstLine="0" w:firstLineChars="0"/>
              <w:jc w:val="center"/>
              <w:rPr>
                <w:kern w:val="0"/>
                <w:sz w:val="21"/>
                <w:szCs w:val="21"/>
              </w:rPr>
            </w:pPr>
            <w:r>
              <w:rPr>
                <w:kern w:val="0"/>
                <w:sz w:val="21"/>
                <w:szCs w:val="21"/>
              </w:rPr>
              <w:t>2.1.1</w:t>
            </w:r>
          </w:p>
        </w:tc>
        <w:tc>
          <w:tcPr>
            <w:tcW w:w="652" w:type="pct"/>
            <w:vMerge w:val="restart"/>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ind w:firstLine="0" w:firstLineChars="0"/>
              <w:jc w:val="center"/>
              <w:rPr>
                <w:kern w:val="0"/>
                <w:sz w:val="21"/>
                <w:szCs w:val="21"/>
              </w:rPr>
            </w:pPr>
            <w:r>
              <w:rPr>
                <w:kern w:val="0"/>
                <w:sz w:val="21"/>
                <w:szCs w:val="21"/>
              </w:rPr>
              <w:t>形式评审标准</w:t>
            </w:r>
          </w:p>
        </w:tc>
        <w:tc>
          <w:tcPr>
            <w:tcW w:w="967"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投标人名称</w:t>
            </w:r>
          </w:p>
        </w:tc>
        <w:tc>
          <w:tcPr>
            <w:tcW w:w="2981"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与营业执照、资质证书一致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398" w:type="pct"/>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ind w:firstLine="0" w:firstLineChars="0"/>
              <w:jc w:val="center"/>
              <w:rPr>
                <w:kern w:val="0"/>
                <w:sz w:val="21"/>
                <w:szCs w:val="21"/>
              </w:rPr>
            </w:pPr>
          </w:p>
        </w:tc>
        <w:tc>
          <w:tcPr>
            <w:tcW w:w="652" w:type="pct"/>
            <w:vMerge w:val="continue"/>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ind w:firstLine="0" w:firstLineChars="0"/>
              <w:jc w:val="center"/>
              <w:rPr>
                <w:kern w:val="0"/>
                <w:sz w:val="21"/>
                <w:szCs w:val="21"/>
              </w:rPr>
            </w:pPr>
          </w:p>
        </w:tc>
        <w:tc>
          <w:tcPr>
            <w:tcW w:w="967"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投标文件格式</w:t>
            </w:r>
          </w:p>
        </w:tc>
        <w:tc>
          <w:tcPr>
            <w:tcW w:w="2981"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符合第九章</w:t>
            </w:r>
            <w:r>
              <w:rPr>
                <w:rFonts w:hint="eastAsia" w:ascii="宋体" w:hAnsi="宋体" w:cs="宋体"/>
                <w:kern w:val="0"/>
                <w:sz w:val="21"/>
                <w:szCs w:val="21"/>
              </w:rPr>
              <w:t>“投标文件格式”</w:t>
            </w:r>
            <w:r>
              <w:rPr>
                <w:kern w:val="0"/>
                <w:sz w:val="21"/>
                <w:szCs w:val="21"/>
              </w:rPr>
              <w:t>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398" w:type="pct"/>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ind w:firstLine="0" w:firstLineChars="0"/>
              <w:jc w:val="center"/>
              <w:rPr>
                <w:kern w:val="0"/>
                <w:sz w:val="21"/>
                <w:szCs w:val="21"/>
              </w:rPr>
            </w:pPr>
          </w:p>
        </w:tc>
        <w:tc>
          <w:tcPr>
            <w:tcW w:w="652" w:type="pct"/>
            <w:vMerge w:val="continue"/>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ind w:firstLine="0" w:firstLineChars="0"/>
              <w:jc w:val="center"/>
              <w:rPr>
                <w:kern w:val="0"/>
                <w:sz w:val="21"/>
                <w:szCs w:val="21"/>
              </w:rPr>
            </w:pPr>
          </w:p>
        </w:tc>
        <w:tc>
          <w:tcPr>
            <w:tcW w:w="967"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签字盖章</w:t>
            </w:r>
          </w:p>
        </w:tc>
        <w:tc>
          <w:tcPr>
            <w:tcW w:w="2981"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left"/>
              <w:rPr>
                <w:kern w:val="0"/>
                <w:sz w:val="21"/>
                <w:szCs w:val="21"/>
              </w:rPr>
            </w:pPr>
            <w:r>
              <w:rPr>
                <w:bCs/>
                <w:kern w:val="0"/>
                <w:sz w:val="21"/>
                <w:szCs w:val="21"/>
              </w:rPr>
              <w:t>符合第二章</w:t>
            </w:r>
            <w:r>
              <w:rPr>
                <w:rFonts w:hint="eastAsia" w:ascii="宋体" w:hAnsi="宋体" w:cs="宋体"/>
                <w:bCs/>
                <w:kern w:val="0"/>
                <w:sz w:val="21"/>
                <w:szCs w:val="21"/>
              </w:rPr>
              <w:t>“投标人须知”</w:t>
            </w:r>
            <w:r>
              <w:rPr>
                <w:bCs/>
                <w:kern w:val="0"/>
                <w:sz w:val="21"/>
                <w:szCs w:val="21"/>
              </w:rPr>
              <w:t>第3.7.3项的规定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398" w:type="pct"/>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ind w:firstLine="0" w:firstLineChars="0"/>
              <w:jc w:val="center"/>
              <w:rPr>
                <w:kern w:val="0"/>
                <w:sz w:val="21"/>
                <w:szCs w:val="21"/>
              </w:rPr>
            </w:pPr>
          </w:p>
        </w:tc>
        <w:tc>
          <w:tcPr>
            <w:tcW w:w="652" w:type="pct"/>
            <w:vMerge w:val="continue"/>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ind w:firstLine="0" w:firstLineChars="0"/>
              <w:jc w:val="center"/>
              <w:rPr>
                <w:kern w:val="0"/>
                <w:sz w:val="21"/>
                <w:szCs w:val="21"/>
              </w:rPr>
            </w:pPr>
          </w:p>
        </w:tc>
        <w:tc>
          <w:tcPr>
            <w:tcW w:w="967"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center"/>
              <w:rPr>
                <w:sz w:val="21"/>
                <w:szCs w:val="21"/>
              </w:rPr>
            </w:pPr>
            <w:r>
              <w:rPr>
                <w:sz w:val="21"/>
                <w:szCs w:val="21"/>
              </w:rPr>
              <w:t>备选投标方案</w:t>
            </w:r>
          </w:p>
        </w:tc>
        <w:tc>
          <w:tcPr>
            <w:tcW w:w="2981"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left"/>
              <w:rPr>
                <w:sz w:val="21"/>
                <w:szCs w:val="21"/>
              </w:rPr>
            </w:pPr>
            <w:r>
              <w:rPr>
                <w:sz w:val="21"/>
                <w:szCs w:val="21"/>
              </w:rPr>
              <w:t>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398" w:type="pct"/>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ind w:firstLine="0" w:firstLineChars="0"/>
              <w:jc w:val="center"/>
              <w:rPr>
                <w:kern w:val="0"/>
                <w:sz w:val="21"/>
                <w:szCs w:val="21"/>
              </w:rPr>
            </w:pPr>
          </w:p>
        </w:tc>
        <w:tc>
          <w:tcPr>
            <w:tcW w:w="652" w:type="pct"/>
            <w:vMerge w:val="continue"/>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ind w:firstLine="0" w:firstLineChars="0"/>
              <w:jc w:val="center"/>
              <w:rPr>
                <w:kern w:val="0"/>
                <w:sz w:val="21"/>
                <w:szCs w:val="21"/>
              </w:rPr>
            </w:pPr>
          </w:p>
        </w:tc>
        <w:tc>
          <w:tcPr>
            <w:tcW w:w="967"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center"/>
              <w:rPr>
                <w:kern w:val="0"/>
                <w:sz w:val="21"/>
                <w:szCs w:val="21"/>
              </w:rPr>
            </w:pPr>
            <w:r>
              <w:rPr>
                <w:sz w:val="21"/>
                <w:szCs w:val="21"/>
              </w:rPr>
              <w:t>未出现异常情形</w:t>
            </w:r>
          </w:p>
        </w:tc>
        <w:tc>
          <w:tcPr>
            <w:tcW w:w="2981"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left"/>
              <w:rPr>
                <w:kern w:val="0"/>
                <w:sz w:val="21"/>
                <w:szCs w:val="21"/>
              </w:rPr>
            </w:pPr>
            <w:r>
              <w:rPr>
                <w:sz w:val="21"/>
                <w:szCs w:val="21"/>
              </w:rPr>
              <w:t>不同投标人未</w:t>
            </w:r>
            <w:r>
              <w:rPr>
                <w:bCs/>
                <w:kern w:val="0"/>
                <w:sz w:val="21"/>
                <w:szCs w:val="21"/>
              </w:rPr>
              <w:t>出现</w:t>
            </w:r>
            <w:r>
              <w:rPr>
                <w:sz w:val="21"/>
                <w:szCs w:val="21"/>
              </w:rPr>
              <w:t>使用相同的机器识别码进行投标的情形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398" w:type="pct"/>
            <w:vMerge w:val="restart"/>
            <w:tcBorders>
              <w:top w:val="single" w:color="auto" w:sz="4" w:space="0"/>
              <w:left w:val="outset" w:color="auto" w:sz="6" w:space="0"/>
              <w:bottom w:val="outset" w:color="auto" w:sz="6" w:space="0"/>
              <w:right w:val="outset" w:color="auto" w:sz="6" w:space="0"/>
            </w:tcBorders>
            <w:vAlign w:val="center"/>
          </w:tcPr>
          <w:p>
            <w:pPr>
              <w:widowControl/>
              <w:adjustRightInd w:val="0"/>
              <w:snapToGrid w:val="0"/>
              <w:spacing w:line="360" w:lineRule="auto"/>
              <w:ind w:firstLine="0" w:firstLineChars="0"/>
              <w:jc w:val="center"/>
              <w:rPr>
                <w:kern w:val="0"/>
                <w:sz w:val="21"/>
                <w:szCs w:val="21"/>
              </w:rPr>
            </w:pPr>
            <w:r>
              <w:rPr>
                <w:kern w:val="0"/>
                <w:sz w:val="21"/>
                <w:szCs w:val="21"/>
              </w:rPr>
              <w:t>2.1.3</w:t>
            </w:r>
          </w:p>
        </w:tc>
        <w:tc>
          <w:tcPr>
            <w:tcW w:w="652" w:type="pct"/>
            <w:vMerge w:val="restart"/>
            <w:tcBorders>
              <w:top w:val="single" w:color="auto" w:sz="4" w:space="0"/>
              <w:left w:val="outset" w:color="auto" w:sz="6" w:space="0"/>
              <w:bottom w:val="outset" w:color="auto" w:sz="6" w:space="0"/>
              <w:right w:val="single" w:color="auto" w:sz="4" w:space="0"/>
            </w:tcBorders>
            <w:vAlign w:val="center"/>
          </w:tcPr>
          <w:p>
            <w:pPr>
              <w:widowControl/>
              <w:adjustRightInd w:val="0"/>
              <w:snapToGrid w:val="0"/>
              <w:spacing w:line="360" w:lineRule="auto"/>
              <w:ind w:firstLine="0" w:firstLineChars="0"/>
              <w:jc w:val="center"/>
              <w:rPr>
                <w:kern w:val="0"/>
                <w:sz w:val="21"/>
                <w:szCs w:val="21"/>
              </w:rPr>
            </w:pPr>
            <w:r>
              <w:rPr>
                <w:kern w:val="0"/>
                <w:sz w:val="21"/>
                <w:szCs w:val="21"/>
              </w:rPr>
              <w:t>响应性评审标准</w:t>
            </w:r>
          </w:p>
        </w:tc>
        <w:tc>
          <w:tcPr>
            <w:tcW w:w="967" w:type="pct"/>
            <w:tcBorders>
              <w:top w:val="single" w:color="auto" w:sz="4"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投标内容</w:t>
            </w:r>
          </w:p>
        </w:tc>
        <w:tc>
          <w:tcPr>
            <w:tcW w:w="2981"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符合第二章</w:t>
            </w:r>
            <w:r>
              <w:rPr>
                <w:rFonts w:hint="eastAsia" w:ascii="宋体" w:hAnsi="宋体" w:cs="宋体"/>
                <w:kern w:val="0"/>
                <w:sz w:val="21"/>
                <w:szCs w:val="21"/>
              </w:rPr>
              <w:t>“投标人须知”</w:t>
            </w:r>
            <w:r>
              <w:rPr>
                <w:kern w:val="0"/>
                <w:sz w:val="21"/>
                <w:szCs w:val="21"/>
              </w:rPr>
              <w:t>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398" w:type="pct"/>
            <w:vMerge w:val="continue"/>
            <w:tcBorders>
              <w:top w:val="single" w:color="auto" w:sz="4" w:space="0"/>
              <w:left w:val="outset" w:color="auto" w:sz="6" w:space="0"/>
              <w:bottom w:val="outset" w:color="auto" w:sz="6" w:space="0"/>
              <w:right w:val="outset" w:color="auto" w:sz="6" w:space="0"/>
            </w:tcBorders>
            <w:vAlign w:val="center"/>
          </w:tcPr>
          <w:p>
            <w:pPr>
              <w:widowControl/>
              <w:adjustRightInd w:val="0"/>
              <w:snapToGrid w:val="0"/>
              <w:spacing w:line="360" w:lineRule="auto"/>
              <w:ind w:firstLine="0" w:firstLineChars="0"/>
              <w:jc w:val="center"/>
              <w:rPr>
                <w:kern w:val="0"/>
                <w:sz w:val="21"/>
                <w:szCs w:val="21"/>
              </w:rPr>
            </w:pPr>
          </w:p>
        </w:tc>
        <w:tc>
          <w:tcPr>
            <w:tcW w:w="652" w:type="pct"/>
            <w:vMerge w:val="continue"/>
            <w:tcBorders>
              <w:top w:val="single" w:color="auto" w:sz="4" w:space="0"/>
              <w:left w:val="outset" w:color="auto" w:sz="6" w:space="0"/>
              <w:bottom w:val="outset" w:color="auto" w:sz="6" w:space="0"/>
              <w:right w:val="single" w:color="auto" w:sz="4" w:space="0"/>
            </w:tcBorders>
            <w:vAlign w:val="center"/>
          </w:tcPr>
          <w:p>
            <w:pPr>
              <w:widowControl/>
              <w:adjustRightInd w:val="0"/>
              <w:snapToGrid w:val="0"/>
              <w:spacing w:line="360" w:lineRule="auto"/>
              <w:ind w:firstLine="0" w:firstLineChars="0"/>
              <w:jc w:val="center"/>
              <w:rPr>
                <w:kern w:val="0"/>
                <w:sz w:val="21"/>
                <w:szCs w:val="21"/>
              </w:rPr>
            </w:pPr>
          </w:p>
        </w:tc>
        <w:tc>
          <w:tcPr>
            <w:tcW w:w="967" w:type="pct"/>
            <w:tcBorders>
              <w:top w:val="single" w:color="auto" w:sz="4"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投标报价</w:t>
            </w:r>
          </w:p>
        </w:tc>
        <w:tc>
          <w:tcPr>
            <w:tcW w:w="2981"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（1）投标报价未超过招标文件设定的最高投标限价（如有）。</w:t>
            </w:r>
          </w:p>
          <w:p>
            <w:pPr>
              <w:widowControl/>
              <w:adjustRightInd w:val="0"/>
              <w:snapToGrid w:val="0"/>
              <w:spacing w:line="360" w:lineRule="auto"/>
              <w:ind w:firstLine="0" w:firstLineChars="0"/>
              <w:jc w:val="left"/>
              <w:rPr>
                <w:kern w:val="0"/>
                <w:sz w:val="21"/>
                <w:szCs w:val="21"/>
              </w:rPr>
            </w:pPr>
            <w:r>
              <w:rPr>
                <w:kern w:val="0"/>
                <w:sz w:val="21"/>
                <w:szCs w:val="21"/>
              </w:rPr>
              <w:t>（2）投标报价的大写数值能确定具体数值，未出现数量级错误、报价金额单位错误。</w:t>
            </w:r>
          </w:p>
          <w:p>
            <w:pPr>
              <w:widowControl/>
              <w:adjustRightInd w:val="0"/>
              <w:snapToGrid w:val="0"/>
              <w:spacing w:line="360" w:lineRule="auto"/>
              <w:ind w:firstLine="0" w:firstLineChars="0"/>
              <w:jc w:val="left"/>
              <w:rPr>
                <w:kern w:val="0"/>
                <w:sz w:val="21"/>
                <w:szCs w:val="21"/>
              </w:rPr>
            </w:pPr>
            <w:r>
              <w:rPr>
                <w:kern w:val="0"/>
                <w:sz w:val="21"/>
                <w:szCs w:val="21"/>
              </w:rPr>
              <w:t>（3）同一投标人未递交两个以上不同的投标报价。</w:t>
            </w:r>
          </w:p>
          <w:p>
            <w:pPr>
              <w:widowControl/>
              <w:adjustRightInd w:val="0"/>
              <w:snapToGrid w:val="0"/>
              <w:spacing w:line="360" w:lineRule="auto"/>
              <w:ind w:firstLine="0" w:firstLineChars="0"/>
              <w:jc w:val="left"/>
              <w:rPr>
                <w:kern w:val="0"/>
                <w:sz w:val="21"/>
                <w:szCs w:val="21"/>
              </w:rPr>
            </w:pPr>
            <w:r>
              <w:rPr>
                <w:kern w:val="0"/>
                <w:sz w:val="21"/>
                <w:szCs w:val="21"/>
              </w:rPr>
              <w:t>（4）投标人若填写招标人提供的书面工程量清单（非固化），已标价工程量清单的说明文字、项目名称、计量单位及工程量与招标人提供的工程量清单未出现实质性内容不一致。</w:t>
            </w:r>
          </w:p>
          <w:p>
            <w:pPr>
              <w:widowControl/>
              <w:adjustRightInd w:val="0"/>
              <w:snapToGrid w:val="0"/>
              <w:spacing w:line="360" w:lineRule="auto"/>
              <w:ind w:firstLine="0" w:firstLineChars="0"/>
              <w:jc w:val="left"/>
              <w:rPr>
                <w:kern w:val="0"/>
                <w:sz w:val="21"/>
                <w:szCs w:val="21"/>
              </w:rPr>
            </w:pPr>
            <w:r>
              <w:rPr>
                <w:kern w:val="0"/>
                <w:sz w:val="21"/>
                <w:szCs w:val="21"/>
              </w:rPr>
              <w:t>（5）投标人若填写招标人提供的工程量固化清单，填写完毕的工程量固化清单未对工程量固化清单电子文件中的数据、格式和运算定义进行修改；工程量固化清单中的投标报价和投标函大写金额报价一致。</w:t>
            </w:r>
          </w:p>
          <w:p>
            <w:pPr>
              <w:widowControl/>
              <w:adjustRightInd w:val="0"/>
              <w:snapToGrid w:val="0"/>
              <w:spacing w:line="360" w:lineRule="auto"/>
              <w:ind w:firstLine="0" w:firstLineChars="0"/>
              <w:jc w:val="left"/>
              <w:rPr>
                <w:kern w:val="0"/>
                <w:sz w:val="21"/>
                <w:szCs w:val="21"/>
              </w:rPr>
            </w:pPr>
            <w:r>
              <w:rPr>
                <w:kern w:val="0"/>
                <w:sz w:val="21"/>
                <w:szCs w:val="21"/>
              </w:rPr>
              <w:t>（6）</w:t>
            </w:r>
            <w:r>
              <w:rPr>
                <w:rFonts w:hint="eastAsia"/>
                <w:kern w:val="0"/>
                <w:sz w:val="21"/>
                <w:szCs w:val="21"/>
              </w:rPr>
              <w:t>按照</w:t>
            </w:r>
            <w:r>
              <w:rPr>
                <w:kern w:val="0"/>
                <w:sz w:val="21"/>
                <w:szCs w:val="21"/>
              </w:rPr>
              <w:t>清单计价规范要求不应为负值的，已标价工程量清单中的数据未出现该情形。</w:t>
            </w:r>
          </w:p>
          <w:p>
            <w:pPr>
              <w:widowControl/>
              <w:adjustRightInd w:val="0"/>
              <w:snapToGrid w:val="0"/>
              <w:spacing w:line="360" w:lineRule="auto"/>
              <w:ind w:firstLine="0" w:firstLineChars="0"/>
              <w:jc w:val="left"/>
              <w:rPr>
                <w:kern w:val="0"/>
                <w:sz w:val="21"/>
                <w:szCs w:val="21"/>
              </w:rPr>
            </w:pPr>
            <w:r>
              <w:rPr>
                <w:kern w:val="0"/>
                <w:sz w:val="21"/>
                <w:szCs w:val="21"/>
              </w:rPr>
              <w:t>（7）投标人若提交调价函，调价函符合招标文件第二章</w:t>
            </w:r>
            <w:r>
              <w:rPr>
                <w:rFonts w:hint="eastAsia" w:ascii="宋体" w:hAnsi="宋体" w:cs="宋体"/>
                <w:kern w:val="0"/>
                <w:sz w:val="21"/>
                <w:szCs w:val="21"/>
              </w:rPr>
              <w:t>“投标人须知”</w:t>
            </w:r>
            <w:r>
              <w:rPr>
                <w:kern w:val="0"/>
                <w:sz w:val="21"/>
                <w:szCs w:val="21"/>
              </w:rPr>
              <w:t>第3.2.6项要求。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42" w:hRule="atLeast"/>
          <w:jc w:val="center"/>
        </w:trPr>
        <w:tc>
          <w:tcPr>
            <w:tcW w:w="398" w:type="pct"/>
            <w:vMerge w:val="continue"/>
            <w:tcBorders>
              <w:top w:val="single" w:color="auto" w:sz="4" w:space="0"/>
              <w:left w:val="outset" w:color="auto" w:sz="6" w:space="0"/>
              <w:bottom w:val="outset" w:color="auto" w:sz="6" w:space="0"/>
              <w:right w:val="outset" w:color="auto" w:sz="6" w:space="0"/>
            </w:tcBorders>
            <w:vAlign w:val="center"/>
          </w:tcPr>
          <w:p>
            <w:pPr>
              <w:widowControl/>
              <w:adjustRightInd w:val="0"/>
              <w:snapToGrid w:val="0"/>
              <w:spacing w:line="360" w:lineRule="auto"/>
              <w:ind w:firstLine="0" w:firstLineChars="0"/>
              <w:jc w:val="center"/>
              <w:rPr>
                <w:kern w:val="0"/>
                <w:sz w:val="21"/>
                <w:szCs w:val="21"/>
              </w:rPr>
            </w:pPr>
          </w:p>
        </w:tc>
        <w:tc>
          <w:tcPr>
            <w:tcW w:w="652" w:type="pct"/>
            <w:vMerge w:val="continue"/>
            <w:tcBorders>
              <w:top w:val="single" w:color="auto" w:sz="4" w:space="0"/>
              <w:left w:val="outset" w:color="auto" w:sz="6" w:space="0"/>
              <w:bottom w:val="outset" w:color="auto" w:sz="6" w:space="0"/>
              <w:right w:val="single" w:color="auto" w:sz="4" w:space="0"/>
            </w:tcBorders>
            <w:vAlign w:val="center"/>
          </w:tcPr>
          <w:p>
            <w:pPr>
              <w:widowControl/>
              <w:adjustRightInd w:val="0"/>
              <w:snapToGrid w:val="0"/>
              <w:spacing w:line="360" w:lineRule="auto"/>
              <w:ind w:firstLine="0" w:firstLineChars="0"/>
              <w:jc w:val="center"/>
              <w:rPr>
                <w:kern w:val="0"/>
                <w:sz w:val="21"/>
                <w:szCs w:val="21"/>
              </w:rPr>
            </w:pPr>
          </w:p>
        </w:tc>
        <w:tc>
          <w:tcPr>
            <w:tcW w:w="967" w:type="pct"/>
            <w:tcBorders>
              <w:top w:val="single" w:color="auto" w:sz="4"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投标报价不可竞争内容</w:t>
            </w:r>
          </w:p>
        </w:tc>
        <w:tc>
          <w:tcPr>
            <w:tcW w:w="2981"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left"/>
              <w:rPr>
                <w:kern w:val="0"/>
                <w:sz w:val="21"/>
                <w:szCs w:val="21"/>
                <w:highlight w:val="none"/>
              </w:rPr>
            </w:pPr>
            <w:r>
              <w:rPr>
                <w:rFonts w:hint="eastAsia"/>
                <w:kern w:val="0"/>
                <w:sz w:val="21"/>
                <w:szCs w:val="21"/>
              </w:rPr>
              <w:t>（</w:t>
            </w:r>
            <w:r>
              <w:rPr>
                <w:kern w:val="0"/>
                <w:sz w:val="21"/>
                <w:szCs w:val="21"/>
              </w:rPr>
              <w:t>1</w:t>
            </w:r>
            <w:r>
              <w:rPr>
                <w:rFonts w:hint="eastAsia"/>
                <w:kern w:val="0"/>
                <w:sz w:val="21"/>
                <w:szCs w:val="21"/>
              </w:rPr>
              <w:t>）安全生产费报价符合招标文件要求，</w:t>
            </w:r>
            <w:r>
              <w:rPr>
                <w:rFonts w:hint="eastAsia"/>
                <w:kern w:val="0"/>
                <w:sz w:val="21"/>
                <w:szCs w:val="21"/>
                <w:highlight w:val="none"/>
              </w:rPr>
              <w:t>安全生产费用为第100章至第700章合计投标报价(不含安全生产费及建筑工程一切险及第三者责任险的保险费)的1.5%计。</w:t>
            </w:r>
          </w:p>
          <w:p>
            <w:pPr>
              <w:widowControl/>
              <w:adjustRightInd w:val="0"/>
              <w:snapToGrid w:val="0"/>
              <w:spacing w:line="360" w:lineRule="auto"/>
              <w:ind w:firstLine="0" w:firstLineChars="0"/>
              <w:jc w:val="left"/>
              <w:rPr>
                <w:kern w:val="0"/>
                <w:sz w:val="21"/>
                <w:szCs w:val="21"/>
                <w:highlight w:val="none"/>
              </w:rPr>
            </w:pPr>
            <w:r>
              <w:rPr>
                <w:rFonts w:hint="eastAsia"/>
                <w:kern w:val="0"/>
                <w:sz w:val="21"/>
                <w:szCs w:val="21"/>
                <w:highlight w:val="none"/>
              </w:rPr>
              <w:t>（2）建筑工程一切险费用为第100章至第700章合计投标报价(不含建筑工程一切险及第三者责任险的保险费)的0.25%计；</w:t>
            </w:r>
          </w:p>
          <w:p>
            <w:pPr>
              <w:widowControl/>
              <w:adjustRightInd w:val="0"/>
              <w:snapToGrid w:val="0"/>
              <w:spacing w:line="360" w:lineRule="auto"/>
              <w:ind w:firstLine="0" w:firstLineChars="0"/>
              <w:jc w:val="left"/>
              <w:rPr>
                <w:kern w:val="0"/>
                <w:sz w:val="21"/>
                <w:szCs w:val="21"/>
                <w:highlight w:val="none"/>
              </w:rPr>
            </w:pPr>
            <w:r>
              <w:rPr>
                <w:rFonts w:hint="eastAsia"/>
                <w:kern w:val="0"/>
                <w:sz w:val="21"/>
                <w:szCs w:val="21"/>
                <w:highlight w:val="none"/>
              </w:rPr>
              <w:t>（3）第三者责任险第100章至第700章合计投标报价(不含建筑工程一切险及第三者责任险的保险费)的0.15%计；</w:t>
            </w:r>
          </w:p>
          <w:p>
            <w:pPr>
              <w:widowControl/>
              <w:adjustRightInd w:val="0"/>
              <w:snapToGrid w:val="0"/>
              <w:spacing w:line="360" w:lineRule="auto"/>
              <w:ind w:firstLine="0" w:firstLineChars="0"/>
              <w:jc w:val="left"/>
              <w:rPr>
                <w:kern w:val="0"/>
                <w:sz w:val="21"/>
                <w:szCs w:val="21"/>
              </w:rPr>
            </w:pPr>
            <w:r>
              <w:rPr>
                <w:rFonts w:hint="eastAsia"/>
                <w:kern w:val="0"/>
                <w:sz w:val="21"/>
                <w:szCs w:val="21"/>
              </w:rPr>
              <w:t>（</w:t>
            </w:r>
            <w:r>
              <w:rPr>
                <w:kern w:val="0"/>
                <w:sz w:val="21"/>
                <w:szCs w:val="21"/>
              </w:rPr>
              <w:t>4</w:t>
            </w:r>
            <w:r>
              <w:rPr>
                <w:rFonts w:hint="eastAsia"/>
                <w:kern w:val="0"/>
                <w:sz w:val="21"/>
                <w:szCs w:val="21"/>
              </w:rPr>
              <w:t>）已标价工程量清单中未更改招标文件确定的暂列金额、暂估价。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954" w:hRule="atLeast"/>
          <w:jc w:val="center"/>
        </w:trPr>
        <w:tc>
          <w:tcPr>
            <w:tcW w:w="398" w:type="pct"/>
            <w:vMerge w:val="continue"/>
            <w:tcBorders>
              <w:top w:val="single" w:color="auto" w:sz="4" w:space="0"/>
              <w:left w:val="outset" w:color="auto" w:sz="6" w:space="0"/>
              <w:bottom w:val="outset" w:color="auto" w:sz="6" w:space="0"/>
              <w:right w:val="outset" w:color="auto" w:sz="6" w:space="0"/>
            </w:tcBorders>
            <w:vAlign w:val="center"/>
          </w:tcPr>
          <w:p>
            <w:pPr>
              <w:widowControl/>
              <w:adjustRightInd w:val="0"/>
              <w:snapToGrid w:val="0"/>
              <w:spacing w:line="360" w:lineRule="auto"/>
              <w:ind w:firstLine="0" w:firstLineChars="0"/>
              <w:jc w:val="center"/>
              <w:rPr>
                <w:kern w:val="0"/>
                <w:sz w:val="21"/>
                <w:szCs w:val="21"/>
              </w:rPr>
            </w:pPr>
          </w:p>
        </w:tc>
        <w:tc>
          <w:tcPr>
            <w:tcW w:w="652" w:type="pct"/>
            <w:vMerge w:val="continue"/>
            <w:tcBorders>
              <w:top w:val="single" w:color="auto" w:sz="4" w:space="0"/>
              <w:left w:val="outset" w:color="auto" w:sz="6" w:space="0"/>
              <w:bottom w:val="outset" w:color="auto" w:sz="6" w:space="0"/>
              <w:right w:val="single" w:color="auto" w:sz="4" w:space="0"/>
            </w:tcBorders>
            <w:vAlign w:val="center"/>
          </w:tcPr>
          <w:p>
            <w:pPr>
              <w:widowControl/>
              <w:adjustRightInd w:val="0"/>
              <w:snapToGrid w:val="0"/>
              <w:spacing w:line="360" w:lineRule="auto"/>
              <w:ind w:firstLine="0" w:firstLineChars="0"/>
              <w:jc w:val="center"/>
              <w:rPr>
                <w:kern w:val="0"/>
                <w:sz w:val="21"/>
                <w:szCs w:val="21"/>
              </w:rPr>
            </w:pPr>
          </w:p>
        </w:tc>
        <w:tc>
          <w:tcPr>
            <w:tcW w:w="967" w:type="pct"/>
            <w:tcBorders>
              <w:top w:val="single" w:color="auto" w:sz="4"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center"/>
              <w:rPr>
                <w:kern w:val="0"/>
                <w:sz w:val="21"/>
                <w:szCs w:val="21"/>
              </w:rPr>
            </w:pPr>
            <w:r>
              <w:rPr>
                <w:kern w:val="0"/>
                <w:sz w:val="21"/>
                <w:szCs w:val="21"/>
              </w:rPr>
              <w:t>投标报价偏差</w:t>
            </w:r>
          </w:p>
        </w:tc>
        <w:tc>
          <w:tcPr>
            <w:tcW w:w="2981"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（1）因投标人原因造成投标报价累计缺漏金额（多报金额不得抵销缺漏金额，缺漏金额计算时按照最高投标限价相应数据计算）占投标报价未超过3%，也未影响各投标人排序。</w:t>
            </w:r>
          </w:p>
          <w:p>
            <w:pPr>
              <w:widowControl/>
              <w:adjustRightInd w:val="0"/>
              <w:snapToGrid w:val="0"/>
              <w:spacing w:line="360" w:lineRule="auto"/>
              <w:ind w:firstLine="0" w:firstLineChars="0"/>
              <w:jc w:val="left"/>
              <w:rPr>
                <w:kern w:val="0"/>
                <w:sz w:val="21"/>
                <w:szCs w:val="21"/>
              </w:rPr>
            </w:pPr>
            <w:r>
              <w:rPr>
                <w:kern w:val="0"/>
                <w:sz w:val="21"/>
                <w:szCs w:val="21"/>
              </w:rPr>
              <w:t>凡招标文件要求或者工程量清单计价规范规定应计算的费用而投标人未报，且投标文件未阐明充分理由，并不能提供足够证据者，均视为缺漏金额。</w:t>
            </w:r>
          </w:p>
          <w:p>
            <w:pPr>
              <w:widowControl/>
              <w:adjustRightInd w:val="0"/>
              <w:snapToGrid w:val="0"/>
              <w:spacing w:line="360" w:lineRule="auto"/>
              <w:ind w:firstLine="0" w:firstLineChars="0"/>
              <w:jc w:val="left"/>
              <w:rPr>
                <w:kern w:val="0"/>
                <w:sz w:val="21"/>
                <w:szCs w:val="21"/>
              </w:rPr>
            </w:pPr>
            <w:r>
              <w:rPr>
                <w:kern w:val="0"/>
                <w:sz w:val="21"/>
                <w:szCs w:val="21"/>
              </w:rPr>
              <w:t>（2）对投标报价存在计算错误的，</w:t>
            </w:r>
            <w:r>
              <w:rPr>
                <w:rFonts w:hint="eastAsia"/>
                <w:kern w:val="0"/>
                <w:sz w:val="21"/>
                <w:szCs w:val="21"/>
              </w:rPr>
              <w:t>按照</w:t>
            </w:r>
            <w:r>
              <w:rPr>
                <w:kern w:val="0"/>
                <w:sz w:val="21"/>
                <w:szCs w:val="21"/>
              </w:rPr>
              <w:t>本章第3.</w:t>
            </w:r>
            <w:r>
              <w:rPr>
                <w:rFonts w:hint="eastAsia"/>
                <w:kern w:val="0"/>
                <w:sz w:val="21"/>
                <w:szCs w:val="21"/>
              </w:rPr>
              <w:t>4</w:t>
            </w:r>
            <w:r>
              <w:rPr>
                <w:kern w:val="0"/>
                <w:sz w:val="21"/>
                <w:szCs w:val="21"/>
              </w:rPr>
              <w:t>.4项规定的标准对投标报价进行修正，修正后的投标报价与修正前投标报价的偏差未超过3%，也未影响各投标人排序（采用固化清单时不进行算术性修正，本条不适用）。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986" w:hRule="atLeast"/>
          <w:jc w:val="center"/>
        </w:trPr>
        <w:tc>
          <w:tcPr>
            <w:tcW w:w="398" w:type="pct"/>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ind w:firstLine="0" w:firstLineChars="0"/>
              <w:jc w:val="center"/>
              <w:rPr>
                <w:kern w:val="0"/>
                <w:sz w:val="21"/>
                <w:szCs w:val="21"/>
              </w:rPr>
            </w:pPr>
          </w:p>
        </w:tc>
        <w:tc>
          <w:tcPr>
            <w:tcW w:w="652" w:type="pct"/>
            <w:vMerge w:val="continue"/>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ind w:firstLine="0" w:firstLineChars="0"/>
              <w:jc w:val="center"/>
              <w:rPr>
                <w:kern w:val="0"/>
                <w:sz w:val="21"/>
                <w:szCs w:val="21"/>
              </w:rPr>
            </w:pPr>
          </w:p>
        </w:tc>
        <w:tc>
          <w:tcPr>
            <w:tcW w:w="967"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center"/>
              <w:rPr>
                <w:kern w:val="0"/>
                <w:sz w:val="21"/>
                <w:szCs w:val="21"/>
              </w:rPr>
            </w:pPr>
            <w:r>
              <w:rPr>
                <w:rFonts w:hint="eastAsia"/>
                <w:kern w:val="0"/>
                <w:sz w:val="21"/>
                <w:szCs w:val="21"/>
              </w:rPr>
              <w:t>其他</w:t>
            </w:r>
            <w:r>
              <w:rPr>
                <w:kern w:val="0"/>
                <w:sz w:val="21"/>
                <w:szCs w:val="21"/>
              </w:rPr>
              <w:t>情形</w:t>
            </w:r>
          </w:p>
        </w:tc>
        <w:tc>
          <w:tcPr>
            <w:tcW w:w="2981"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ind w:firstLine="0" w:firstLineChars="0"/>
              <w:jc w:val="left"/>
              <w:rPr>
                <w:kern w:val="0"/>
                <w:sz w:val="21"/>
                <w:szCs w:val="21"/>
              </w:rPr>
            </w:pPr>
            <w:r>
              <w:rPr>
                <w:kern w:val="0"/>
                <w:sz w:val="21"/>
                <w:szCs w:val="21"/>
              </w:rPr>
              <w:t>（1）未显示投标人的投标文件存在以下情形之一：</w:t>
            </w:r>
          </w:p>
          <w:p>
            <w:pPr>
              <w:widowControl/>
              <w:adjustRightInd w:val="0"/>
              <w:snapToGrid w:val="0"/>
              <w:spacing w:line="360" w:lineRule="auto"/>
              <w:ind w:firstLine="0" w:firstLineChars="0"/>
              <w:jc w:val="left"/>
              <w:rPr>
                <w:kern w:val="0"/>
                <w:sz w:val="21"/>
                <w:szCs w:val="21"/>
              </w:rPr>
            </w:pPr>
            <w:r>
              <w:rPr>
                <w:rFonts w:hint="eastAsia" w:ascii="宋体" w:hAnsi="宋体" w:cs="宋体"/>
                <w:kern w:val="0"/>
                <w:sz w:val="21"/>
                <w:szCs w:val="21"/>
              </w:rPr>
              <w:t>①</w:t>
            </w:r>
            <w:r>
              <w:rPr>
                <w:kern w:val="0"/>
                <w:sz w:val="21"/>
                <w:szCs w:val="21"/>
              </w:rPr>
              <w:t>不同投标人的投标文件存在异常一致的情形；</w:t>
            </w:r>
          </w:p>
          <w:p>
            <w:pPr>
              <w:widowControl/>
              <w:adjustRightInd w:val="0"/>
              <w:snapToGrid w:val="0"/>
              <w:spacing w:line="360" w:lineRule="auto"/>
              <w:ind w:firstLine="0" w:firstLineChars="0"/>
              <w:jc w:val="left"/>
              <w:rPr>
                <w:kern w:val="0"/>
                <w:sz w:val="21"/>
                <w:szCs w:val="21"/>
              </w:rPr>
            </w:pPr>
            <w:r>
              <w:rPr>
                <w:rFonts w:hint="eastAsia" w:ascii="宋体" w:hAnsi="宋体" w:cs="宋体"/>
                <w:kern w:val="0"/>
                <w:sz w:val="21"/>
                <w:szCs w:val="21"/>
              </w:rPr>
              <w:t>②</w:t>
            </w:r>
            <w:r>
              <w:rPr>
                <w:kern w:val="0"/>
                <w:sz w:val="21"/>
                <w:szCs w:val="21"/>
              </w:rPr>
              <w:t>投标报价呈规律性差异等招投标相关法律法规明确规定为串通投标的情形；</w:t>
            </w:r>
          </w:p>
          <w:p>
            <w:pPr>
              <w:widowControl/>
              <w:adjustRightInd w:val="0"/>
              <w:snapToGrid w:val="0"/>
              <w:spacing w:line="360" w:lineRule="auto"/>
              <w:ind w:firstLine="0" w:firstLineChars="0"/>
              <w:jc w:val="left"/>
              <w:rPr>
                <w:kern w:val="0"/>
                <w:sz w:val="21"/>
                <w:szCs w:val="21"/>
              </w:rPr>
            </w:pPr>
            <w:r>
              <w:rPr>
                <w:rFonts w:hint="eastAsia" w:ascii="宋体" w:hAnsi="宋体" w:cs="宋体"/>
                <w:kern w:val="0"/>
                <w:sz w:val="21"/>
                <w:szCs w:val="21"/>
              </w:rPr>
              <w:t>③</w:t>
            </w:r>
            <w:r>
              <w:rPr>
                <w:kern w:val="0"/>
                <w:sz w:val="21"/>
                <w:szCs w:val="21"/>
              </w:rPr>
              <w:t>法律、法规规定的</w:t>
            </w:r>
            <w:r>
              <w:rPr>
                <w:rFonts w:hint="eastAsia"/>
                <w:kern w:val="0"/>
                <w:sz w:val="21"/>
                <w:szCs w:val="21"/>
              </w:rPr>
              <w:t>其他</w:t>
            </w:r>
            <w:r>
              <w:rPr>
                <w:kern w:val="0"/>
                <w:sz w:val="21"/>
                <w:szCs w:val="21"/>
              </w:rPr>
              <w:t>情形。</w:t>
            </w:r>
          </w:p>
          <w:p>
            <w:pPr>
              <w:widowControl/>
              <w:spacing w:line="360" w:lineRule="auto"/>
              <w:ind w:firstLine="0" w:firstLineChars="0"/>
              <w:jc w:val="left"/>
              <w:rPr>
                <w:rFonts w:cs="宋体"/>
                <w:sz w:val="21"/>
                <w:szCs w:val="21"/>
              </w:rPr>
            </w:pPr>
            <w:r>
              <w:rPr>
                <w:rFonts w:hint="eastAsia" w:cs="宋体"/>
                <w:sz w:val="21"/>
                <w:szCs w:val="21"/>
              </w:rPr>
              <w:t>（2）项目评审中，多家投标人投标报价规律性集中出现在高价区域，明显与近期类似项目报价情况不一致，以致影响正常评审的，评标委员会应确定项目投标报价明显缺乏竞争性，宣布流标，同时将异常报价报公共资源交易监督管理部门。</w:t>
            </w:r>
          </w:p>
          <w:p>
            <w:pPr>
              <w:widowControl/>
              <w:adjustRightInd w:val="0"/>
              <w:snapToGrid w:val="0"/>
              <w:spacing w:line="360" w:lineRule="auto"/>
              <w:ind w:firstLine="0" w:firstLineChars="0"/>
              <w:jc w:val="left"/>
              <w:rPr>
                <w:kern w:val="0"/>
                <w:sz w:val="21"/>
                <w:szCs w:val="21"/>
              </w:rPr>
            </w:pPr>
            <w:r>
              <w:rPr>
                <w:kern w:val="0"/>
                <w:sz w:val="21"/>
                <w:szCs w:val="21"/>
              </w:rPr>
              <w:t>（</w:t>
            </w:r>
            <w:r>
              <w:rPr>
                <w:rFonts w:hint="eastAsia"/>
                <w:kern w:val="0"/>
                <w:sz w:val="21"/>
                <w:szCs w:val="21"/>
              </w:rPr>
              <w:t>3</w:t>
            </w:r>
            <w:r>
              <w:rPr>
                <w:kern w:val="0"/>
                <w:sz w:val="21"/>
                <w:szCs w:val="21"/>
              </w:rPr>
              <w:t>）投标文件中不得存在招标人不能接受的</w:t>
            </w:r>
            <w:r>
              <w:rPr>
                <w:rFonts w:hint="eastAsia"/>
                <w:kern w:val="0"/>
                <w:sz w:val="21"/>
                <w:szCs w:val="21"/>
              </w:rPr>
              <w:t>其他</w:t>
            </w:r>
            <w:r>
              <w:rPr>
                <w:kern w:val="0"/>
                <w:sz w:val="21"/>
                <w:szCs w:val="21"/>
              </w:rPr>
              <w:t>实质性条件。</w:t>
            </w:r>
          </w:p>
          <w:p>
            <w:pPr>
              <w:widowControl/>
              <w:adjustRightInd w:val="0"/>
              <w:snapToGrid w:val="0"/>
              <w:spacing w:line="360" w:lineRule="auto"/>
              <w:ind w:firstLine="0" w:firstLineChars="0"/>
              <w:jc w:val="left"/>
              <w:rPr>
                <w:kern w:val="0"/>
                <w:sz w:val="21"/>
                <w:szCs w:val="21"/>
              </w:rPr>
            </w:pPr>
            <w:r>
              <w:rPr>
                <w:kern w:val="0"/>
                <w:sz w:val="21"/>
                <w:szCs w:val="21"/>
              </w:rPr>
              <w:t>（</w:t>
            </w:r>
            <w:r>
              <w:rPr>
                <w:rFonts w:hint="eastAsia"/>
                <w:kern w:val="0"/>
                <w:sz w:val="21"/>
                <w:szCs w:val="21"/>
              </w:rPr>
              <w:t>4</w:t>
            </w:r>
            <w:r>
              <w:rPr>
                <w:kern w:val="0"/>
                <w:sz w:val="21"/>
                <w:szCs w:val="21"/>
              </w:rPr>
              <w:t>）法律、法规规定的</w:t>
            </w:r>
            <w:r>
              <w:rPr>
                <w:rFonts w:hint="eastAsia"/>
                <w:kern w:val="0"/>
                <w:sz w:val="21"/>
                <w:szCs w:val="21"/>
              </w:rPr>
              <w:t>其他</w:t>
            </w:r>
            <w:r>
              <w:rPr>
                <w:kern w:val="0"/>
                <w:sz w:val="21"/>
                <w:szCs w:val="21"/>
              </w:rPr>
              <w:t>情形。</w:t>
            </w:r>
          </w:p>
        </w:tc>
      </w:tr>
    </w:tbl>
    <w:p>
      <w:pPr>
        <w:spacing w:line="360" w:lineRule="auto"/>
        <w:ind w:firstLine="482"/>
        <w:rPr>
          <w:b/>
          <w:bCs/>
          <w:sz w:val="24"/>
        </w:rPr>
      </w:pPr>
      <w:r>
        <w:rPr>
          <w:b/>
          <w:bCs/>
          <w:sz w:val="24"/>
        </w:rPr>
        <w:br w:type="page"/>
      </w:r>
    </w:p>
    <w:p>
      <w:pPr>
        <w:keepNext/>
        <w:keepLines/>
        <w:spacing w:beforeLines="100" w:afterLines="100"/>
        <w:ind w:firstLine="0" w:firstLineChars="0"/>
        <w:jc w:val="center"/>
        <w:outlineLvl w:val="1"/>
        <w:rPr>
          <w:rFonts w:eastAsia="黑体"/>
          <w:sz w:val="32"/>
          <w:szCs w:val="40"/>
        </w:rPr>
      </w:pPr>
      <w:bookmarkStart w:id="426" w:name="_Toc138689408"/>
      <w:bookmarkStart w:id="427" w:name="_Toc3392"/>
      <w:r>
        <w:rPr>
          <w:rFonts w:eastAsia="黑体"/>
          <w:sz w:val="32"/>
          <w:szCs w:val="40"/>
        </w:rPr>
        <w:t>商务</w:t>
      </w:r>
      <w:r>
        <w:rPr>
          <w:rFonts w:hint="eastAsia" w:ascii="Cambria" w:hAnsi="Cambria" w:eastAsia="黑体"/>
          <w:sz w:val="32"/>
          <w:szCs w:val="40"/>
        </w:rPr>
        <w:t>、</w:t>
      </w:r>
      <w:r>
        <w:rPr>
          <w:rFonts w:eastAsia="黑体"/>
          <w:sz w:val="32"/>
          <w:szCs w:val="40"/>
        </w:rPr>
        <w:t>技术</w:t>
      </w:r>
      <w:r>
        <w:rPr>
          <w:rFonts w:hint="eastAsia" w:ascii="Cambria" w:hAnsi="Cambria" w:eastAsia="黑体"/>
          <w:sz w:val="32"/>
          <w:szCs w:val="40"/>
        </w:rPr>
        <w:t>、报价文件</w:t>
      </w:r>
      <w:r>
        <w:rPr>
          <w:rFonts w:eastAsia="黑体"/>
          <w:sz w:val="32"/>
          <w:szCs w:val="40"/>
        </w:rPr>
        <w:t>详细评审标准</w:t>
      </w:r>
      <w:bookmarkEnd w:id="426"/>
      <w:bookmarkEnd w:id="427"/>
    </w:p>
    <w:tbl>
      <w:tblPr>
        <w:tblStyle w:val="56"/>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3"/>
        <w:gridCol w:w="1560"/>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073" w:type="dxa"/>
            <w:vAlign w:val="center"/>
          </w:tcPr>
          <w:p>
            <w:pPr>
              <w:snapToGrid w:val="0"/>
              <w:spacing w:line="360" w:lineRule="auto"/>
              <w:ind w:firstLine="0" w:firstLineChars="0"/>
              <w:jc w:val="center"/>
              <w:rPr>
                <w:b/>
                <w:bCs/>
                <w:kern w:val="0"/>
                <w:sz w:val="21"/>
                <w:szCs w:val="21"/>
              </w:rPr>
            </w:pPr>
            <w:r>
              <w:rPr>
                <w:b/>
                <w:bCs/>
                <w:kern w:val="0"/>
                <w:sz w:val="21"/>
                <w:szCs w:val="21"/>
              </w:rPr>
              <w:t>条款号</w:t>
            </w:r>
          </w:p>
        </w:tc>
        <w:tc>
          <w:tcPr>
            <w:tcW w:w="1560" w:type="dxa"/>
            <w:tcMar>
              <w:left w:w="75" w:type="dxa"/>
            </w:tcMar>
            <w:vAlign w:val="center"/>
          </w:tcPr>
          <w:p>
            <w:pPr>
              <w:snapToGrid w:val="0"/>
              <w:spacing w:line="360" w:lineRule="auto"/>
              <w:ind w:firstLine="0" w:firstLineChars="0"/>
              <w:jc w:val="center"/>
              <w:rPr>
                <w:b/>
                <w:bCs/>
                <w:kern w:val="0"/>
                <w:sz w:val="21"/>
                <w:szCs w:val="21"/>
              </w:rPr>
            </w:pPr>
            <w:r>
              <w:rPr>
                <w:b/>
                <w:bCs/>
                <w:kern w:val="0"/>
                <w:sz w:val="21"/>
                <w:szCs w:val="21"/>
              </w:rPr>
              <w:t>条款内容</w:t>
            </w:r>
          </w:p>
        </w:tc>
        <w:tc>
          <w:tcPr>
            <w:tcW w:w="5735" w:type="dxa"/>
            <w:vAlign w:val="center"/>
          </w:tcPr>
          <w:p>
            <w:pPr>
              <w:widowControl/>
              <w:snapToGrid w:val="0"/>
              <w:spacing w:line="360" w:lineRule="auto"/>
              <w:ind w:firstLine="0" w:firstLineChars="0"/>
              <w:jc w:val="center"/>
              <w:rPr>
                <w:b/>
                <w:bCs/>
                <w:kern w:val="0"/>
                <w:sz w:val="21"/>
                <w:szCs w:val="21"/>
              </w:rPr>
            </w:pPr>
            <w:r>
              <w:rPr>
                <w:b/>
                <w:bCs/>
                <w:kern w:val="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073" w:type="dxa"/>
            <w:vAlign w:val="center"/>
          </w:tcPr>
          <w:p>
            <w:pPr>
              <w:snapToGrid w:val="0"/>
              <w:spacing w:line="360" w:lineRule="auto"/>
              <w:ind w:firstLine="0" w:firstLineChars="0"/>
              <w:jc w:val="center"/>
              <w:rPr>
                <w:bCs/>
                <w:kern w:val="0"/>
                <w:sz w:val="21"/>
                <w:szCs w:val="21"/>
              </w:rPr>
            </w:pPr>
            <w:r>
              <w:rPr>
                <w:bCs/>
                <w:kern w:val="0"/>
                <w:sz w:val="21"/>
                <w:szCs w:val="21"/>
              </w:rPr>
              <w:t>2.2.1</w:t>
            </w:r>
          </w:p>
        </w:tc>
        <w:tc>
          <w:tcPr>
            <w:tcW w:w="1560" w:type="dxa"/>
            <w:tcMar>
              <w:left w:w="75" w:type="dxa"/>
            </w:tcMar>
            <w:vAlign w:val="center"/>
          </w:tcPr>
          <w:p>
            <w:pPr>
              <w:snapToGrid w:val="0"/>
              <w:spacing w:line="360" w:lineRule="auto"/>
              <w:ind w:firstLine="0" w:firstLineChars="0"/>
              <w:jc w:val="center"/>
              <w:rPr>
                <w:sz w:val="21"/>
                <w:szCs w:val="21"/>
              </w:rPr>
            </w:pPr>
            <w:r>
              <w:rPr>
                <w:sz w:val="21"/>
                <w:szCs w:val="21"/>
              </w:rPr>
              <w:t>分值构成</w:t>
            </w:r>
          </w:p>
          <w:p>
            <w:pPr>
              <w:snapToGrid w:val="0"/>
              <w:spacing w:line="360" w:lineRule="auto"/>
              <w:ind w:firstLine="0" w:firstLineChars="0"/>
              <w:jc w:val="center"/>
              <w:rPr>
                <w:bCs/>
                <w:kern w:val="0"/>
                <w:sz w:val="21"/>
                <w:szCs w:val="21"/>
              </w:rPr>
            </w:pPr>
            <w:r>
              <w:rPr>
                <w:sz w:val="21"/>
                <w:szCs w:val="21"/>
              </w:rPr>
              <w:t>（100分）</w:t>
            </w:r>
          </w:p>
        </w:tc>
        <w:tc>
          <w:tcPr>
            <w:tcW w:w="5735" w:type="dxa"/>
            <w:vAlign w:val="center"/>
          </w:tcPr>
          <w:p>
            <w:pPr>
              <w:widowControl/>
              <w:spacing w:line="360" w:lineRule="auto"/>
              <w:ind w:firstLine="0" w:firstLineChars="0"/>
              <w:jc w:val="left"/>
              <w:rPr>
                <w:sz w:val="21"/>
                <w:szCs w:val="21"/>
              </w:rPr>
            </w:pPr>
            <w:r>
              <w:rPr>
                <w:sz w:val="21"/>
                <w:szCs w:val="21"/>
              </w:rPr>
              <w:t>技术文件评分分值构成</w:t>
            </w:r>
            <w:r>
              <w:rPr>
                <w:rFonts w:hint="eastAsia"/>
                <w:sz w:val="21"/>
                <w:szCs w:val="21"/>
              </w:rPr>
              <w:t>：</w:t>
            </w:r>
          </w:p>
          <w:p>
            <w:pPr>
              <w:widowControl/>
              <w:spacing w:line="360" w:lineRule="auto"/>
              <w:ind w:firstLine="0" w:firstLineChars="0"/>
              <w:jc w:val="left"/>
              <w:rPr>
                <w:sz w:val="21"/>
                <w:szCs w:val="21"/>
                <w:highlight w:val="none"/>
              </w:rPr>
            </w:pPr>
            <w:r>
              <w:rPr>
                <w:sz w:val="21"/>
                <w:szCs w:val="21"/>
              </w:rPr>
              <w:t>施工组织设计：</w:t>
            </w:r>
            <w:r>
              <w:rPr>
                <w:rFonts w:hint="eastAsia"/>
                <w:sz w:val="21"/>
                <w:szCs w:val="21"/>
                <w:highlight w:val="none"/>
                <w:u w:val="single"/>
                <w:lang w:val="en-US" w:eastAsia="zh-CN"/>
              </w:rPr>
              <w:t>40</w:t>
            </w:r>
            <w:r>
              <w:rPr>
                <w:sz w:val="21"/>
                <w:szCs w:val="21"/>
                <w:highlight w:val="none"/>
              </w:rPr>
              <w:t>分</w:t>
            </w:r>
            <w:r>
              <w:rPr>
                <w:rFonts w:hint="eastAsia"/>
                <w:sz w:val="21"/>
                <w:szCs w:val="21"/>
                <w:highlight w:val="none"/>
              </w:rPr>
              <w:t>；</w:t>
            </w:r>
          </w:p>
          <w:p>
            <w:pPr>
              <w:widowControl/>
              <w:spacing w:line="360" w:lineRule="auto"/>
              <w:ind w:firstLine="0" w:firstLineChars="0"/>
              <w:jc w:val="left"/>
              <w:rPr>
                <w:sz w:val="21"/>
                <w:szCs w:val="21"/>
                <w:highlight w:val="none"/>
              </w:rPr>
            </w:pPr>
            <w:r>
              <w:rPr>
                <w:sz w:val="21"/>
                <w:szCs w:val="21"/>
                <w:highlight w:val="none"/>
              </w:rPr>
              <w:t>商务文件评分分值构成：</w:t>
            </w:r>
          </w:p>
          <w:p>
            <w:pPr>
              <w:spacing w:line="360" w:lineRule="auto"/>
              <w:ind w:firstLine="0" w:firstLineChars="0"/>
              <w:rPr>
                <w:sz w:val="21"/>
                <w:szCs w:val="21"/>
                <w:highlight w:val="none"/>
              </w:rPr>
            </w:pPr>
            <w:r>
              <w:rPr>
                <w:sz w:val="21"/>
                <w:szCs w:val="21"/>
                <w:highlight w:val="none"/>
              </w:rPr>
              <w:t>主要人员：</w:t>
            </w:r>
            <w:r>
              <w:rPr>
                <w:sz w:val="21"/>
                <w:szCs w:val="21"/>
                <w:highlight w:val="none"/>
                <w:u w:val="single"/>
              </w:rPr>
              <w:t xml:space="preserve"> </w:t>
            </w:r>
            <w:r>
              <w:rPr>
                <w:rFonts w:hint="eastAsia"/>
                <w:sz w:val="21"/>
                <w:szCs w:val="21"/>
                <w:highlight w:val="none"/>
                <w:u w:val="single"/>
                <w:lang w:val="en-US" w:eastAsia="zh-CN"/>
              </w:rPr>
              <w:t>4</w:t>
            </w:r>
            <w:r>
              <w:rPr>
                <w:rFonts w:hint="eastAsia"/>
                <w:sz w:val="21"/>
                <w:szCs w:val="21"/>
                <w:highlight w:val="none"/>
                <w:u w:val="single"/>
              </w:rPr>
              <w:t>0</w:t>
            </w:r>
            <w:r>
              <w:rPr>
                <w:sz w:val="21"/>
                <w:szCs w:val="21"/>
                <w:highlight w:val="none"/>
                <w:u w:val="single"/>
              </w:rPr>
              <w:t xml:space="preserve"> </w:t>
            </w:r>
            <w:r>
              <w:rPr>
                <w:sz w:val="21"/>
                <w:szCs w:val="21"/>
                <w:highlight w:val="none"/>
              </w:rPr>
              <w:t>分；</w:t>
            </w:r>
          </w:p>
          <w:p>
            <w:pPr>
              <w:spacing w:line="360" w:lineRule="auto"/>
              <w:ind w:firstLine="0" w:firstLineChars="0"/>
              <w:rPr>
                <w:sz w:val="21"/>
                <w:szCs w:val="21"/>
                <w:highlight w:val="none"/>
              </w:rPr>
            </w:pPr>
            <w:r>
              <w:rPr>
                <w:sz w:val="21"/>
                <w:szCs w:val="21"/>
                <w:highlight w:val="none"/>
              </w:rPr>
              <w:t>技术能力：</w:t>
            </w:r>
            <w:r>
              <w:rPr>
                <w:sz w:val="21"/>
                <w:szCs w:val="21"/>
                <w:highlight w:val="none"/>
                <w:u w:val="single"/>
              </w:rPr>
              <w:t xml:space="preserve"> </w:t>
            </w:r>
            <w:r>
              <w:rPr>
                <w:rFonts w:hint="eastAsia"/>
                <w:sz w:val="21"/>
                <w:szCs w:val="21"/>
                <w:highlight w:val="none"/>
                <w:u w:val="single"/>
              </w:rPr>
              <w:t>10</w:t>
            </w:r>
            <w:r>
              <w:rPr>
                <w:sz w:val="21"/>
                <w:szCs w:val="21"/>
                <w:highlight w:val="none"/>
                <w:u w:val="single"/>
              </w:rPr>
              <w:t xml:space="preserve"> </w:t>
            </w:r>
            <w:r>
              <w:rPr>
                <w:sz w:val="21"/>
                <w:szCs w:val="21"/>
                <w:highlight w:val="none"/>
              </w:rPr>
              <w:t>分；</w:t>
            </w:r>
          </w:p>
          <w:p>
            <w:pPr>
              <w:spacing w:line="360" w:lineRule="auto"/>
              <w:ind w:firstLine="0" w:firstLineChars="0"/>
              <w:rPr>
                <w:sz w:val="21"/>
                <w:szCs w:val="21"/>
                <w:highlight w:val="none"/>
              </w:rPr>
            </w:pPr>
            <w:r>
              <w:rPr>
                <w:sz w:val="21"/>
                <w:szCs w:val="21"/>
                <w:highlight w:val="none"/>
              </w:rPr>
              <w:t>财务能力：</w:t>
            </w:r>
            <w:r>
              <w:rPr>
                <w:sz w:val="21"/>
                <w:szCs w:val="21"/>
                <w:highlight w:val="none"/>
                <w:u w:val="single"/>
              </w:rPr>
              <w:t xml:space="preserve"> </w:t>
            </w:r>
            <w:r>
              <w:rPr>
                <w:rFonts w:hint="eastAsia"/>
                <w:sz w:val="21"/>
                <w:szCs w:val="21"/>
                <w:highlight w:val="none"/>
                <w:u w:val="single"/>
              </w:rPr>
              <w:t>0</w:t>
            </w:r>
            <w:r>
              <w:rPr>
                <w:sz w:val="21"/>
                <w:szCs w:val="21"/>
                <w:highlight w:val="none"/>
                <w:u w:val="single"/>
              </w:rPr>
              <w:t xml:space="preserve"> </w:t>
            </w:r>
            <w:r>
              <w:rPr>
                <w:sz w:val="21"/>
                <w:szCs w:val="21"/>
                <w:highlight w:val="none"/>
              </w:rPr>
              <w:t>分；</w:t>
            </w:r>
          </w:p>
          <w:p>
            <w:pPr>
              <w:spacing w:line="360" w:lineRule="auto"/>
              <w:ind w:firstLine="0" w:firstLineChars="0"/>
              <w:rPr>
                <w:sz w:val="21"/>
                <w:szCs w:val="21"/>
                <w:highlight w:val="none"/>
              </w:rPr>
            </w:pPr>
            <w:r>
              <w:rPr>
                <w:sz w:val="21"/>
                <w:szCs w:val="21"/>
                <w:highlight w:val="none"/>
              </w:rPr>
              <w:t>业绩：</w:t>
            </w:r>
            <w:r>
              <w:rPr>
                <w:sz w:val="21"/>
                <w:szCs w:val="21"/>
                <w:highlight w:val="none"/>
                <w:u w:val="single"/>
              </w:rPr>
              <w:t xml:space="preserve"> </w:t>
            </w:r>
            <w:r>
              <w:rPr>
                <w:rFonts w:hint="eastAsia"/>
                <w:sz w:val="21"/>
                <w:szCs w:val="21"/>
                <w:highlight w:val="none"/>
                <w:u w:val="single"/>
              </w:rPr>
              <w:t>10</w:t>
            </w:r>
            <w:r>
              <w:rPr>
                <w:sz w:val="21"/>
                <w:szCs w:val="21"/>
                <w:highlight w:val="none"/>
                <w:u w:val="single"/>
              </w:rPr>
              <w:t xml:space="preserve"> </w:t>
            </w:r>
            <w:r>
              <w:rPr>
                <w:sz w:val="21"/>
                <w:szCs w:val="21"/>
                <w:highlight w:val="none"/>
              </w:rPr>
              <w:t>分；</w:t>
            </w:r>
          </w:p>
          <w:p>
            <w:pPr>
              <w:spacing w:line="360" w:lineRule="auto"/>
              <w:ind w:firstLine="0" w:firstLineChars="0"/>
              <w:rPr>
                <w:sz w:val="21"/>
                <w:szCs w:val="21"/>
                <w:highlight w:val="none"/>
              </w:rPr>
            </w:pPr>
            <w:r>
              <w:rPr>
                <w:sz w:val="21"/>
                <w:szCs w:val="21"/>
                <w:highlight w:val="none"/>
              </w:rPr>
              <w:t>履约信誉：</w:t>
            </w:r>
            <w:r>
              <w:rPr>
                <w:sz w:val="21"/>
                <w:szCs w:val="21"/>
                <w:highlight w:val="none"/>
                <w:u w:val="single"/>
              </w:rPr>
              <w:t xml:space="preserve"> </w:t>
            </w:r>
            <w:r>
              <w:rPr>
                <w:rFonts w:hint="eastAsia"/>
                <w:sz w:val="21"/>
                <w:szCs w:val="21"/>
                <w:highlight w:val="none"/>
                <w:u w:val="single"/>
              </w:rPr>
              <w:t>0</w:t>
            </w:r>
            <w:r>
              <w:rPr>
                <w:sz w:val="21"/>
                <w:szCs w:val="21"/>
                <w:highlight w:val="none"/>
                <w:u w:val="single"/>
              </w:rPr>
              <w:t xml:space="preserve"> </w:t>
            </w:r>
            <w:r>
              <w:rPr>
                <w:sz w:val="21"/>
                <w:szCs w:val="21"/>
                <w:highlight w:val="none"/>
              </w:rPr>
              <w:t>分；</w:t>
            </w:r>
          </w:p>
          <w:p>
            <w:pPr>
              <w:spacing w:line="360" w:lineRule="auto"/>
              <w:ind w:firstLine="0" w:firstLineChars="0"/>
              <w:rPr>
                <w:sz w:val="21"/>
                <w:szCs w:val="21"/>
              </w:rPr>
            </w:pPr>
            <w:r>
              <w:rPr>
                <w:sz w:val="21"/>
                <w:szCs w:val="21"/>
                <w:highlight w:val="none"/>
              </w:rPr>
              <w:t>其他因素：</w:t>
            </w:r>
            <w:r>
              <w:rPr>
                <w:sz w:val="21"/>
                <w:szCs w:val="21"/>
                <w:highlight w:val="none"/>
                <w:u w:val="single"/>
              </w:rPr>
              <w:t xml:space="preserve"> </w:t>
            </w:r>
            <w:r>
              <w:rPr>
                <w:rFonts w:hint="eastAsia"/>
                <w:sz w:val="21"/>
                <w:szCs w:val="21"/>
                <w:highlight w:val="none"/>
                <w:u w:val="single"/>
              </w:rPr>
              <w:t>0</w:t>
            </w:r>
            <w:r>
              <w:rPr>
                <w:sz w:val="21"/>
                <w:szCs w:val="21"/>
                <w:highlight w:val="none"/>
                <w:u w:val="single"/>
              </w:rPr>
              <w:t xml:space="preserve"> </w:t>
            </w:r>
            <w:r>
              <w:rPr>
                <w:sz w:val="21"/>
                <w:szCs w:val="21"/>
                <w:highlight w:val="none"/>
              </w:rPr>
              <w:t>分</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073" w:type="dxa"/>
            <w:tcBorders>
              <w:top w:val="single" w:color="auto" w:sz="4" w:space="0"/>
              <w:bottom w:val="single" w:color="auto" w:sz="4" w:space="0"/>
              <w:right w:val="single" w:color="auto" w:sz="4" w:space="0"/>
            </w:tcBorders>
            <w:vAlign w:val="center"/>
          </w:tcPr>
          <w:p>
            <w:pPr>
              <w:snapToGrid w:val="0"/>
              <w:spacing w:line="360" w:lineRule="auto"/>
              <w:ind w:firstLine="0" w:firstLineChars="0"/>
              <w:jc w:val="center"/>
              <w:rPr>
                <w:bCs/>
                <w:kern w:val="0"/>
                <w:sz w:val="21"/>
                <w:szCs w:val="21"/>
              </w:rPr>
            </w:pPr>
            <w:r>
              <w:rPr>
                <w:sz w:val="21"/>
                <w:szCs w:val="21"/>
              </w:rPr>
              <w:t>2.2.3</w:t>
            </w:r>
          </w:p>
        </w:tc>
        <w:tc>
          <w:tcPr>
            <w:tcW w:w="1560" w:type="dxa"/>
            <w:tcBorders>
              <w:top w:val="single" w:color="auto" w:sz="4" w:space="0"/>
              <w:bottom w:val="single" w:color="auto" w:sz="4" w:space="0"/>
              <w:right w:val="single" w:color="auto" w:sz="4" w:space="0"/>
            </w:tcBorders>
            <w:tcMar>
              <w:left w:w="75" w:type="dxa"/>
            </w:tcMar>
            <w:vAlign w:val="center"/>
          </w:tcPr>
          <w:p>
            <w:pPr>
              <w:snapToGrid w:val="0"/>
              <w:spacing w:line="360" w:lineRule="auto"/>
              <w:ind w:firstLine="0" w:firstLineChars="0"/>
              <w:jc w:val="center"/>
              <w:rPr>
                <w:sz w:val="21"/>
                <w:szCs w:val="21"/>
              </w:rPr>
            </w:pPr>
            <w:r>
              <w:rPr>
                <w:sz w:val="21"/>
                <w:szCs w:val="21"/>
              </w:rPr>
              <w:t>报价文件详细评审标准</w:t>
            </w:r>
          </w:p>
        </w:tc>
        <w:tc>
          <w:tcPr>
            <w:tcW w:w="57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sz w:val="21"/>
                <w:szCs w:val="21"/>
              </w:rPr>
            </w:pPr>
            <w:r>
              <w:rPr>
                <w:sz w:val="21"/>
                <w:szCs w:val="21"/>
              </w:rPr>
              <w:t>评标价计算公式：</w:t>
            </w:r>
          </w:p>
          <w:p>
            <w:pPr>
              <w:spacing w:line="360" w:lineRule="auto"/>
              <w:ind w:firstLine="0" w:firstLineChars="0"/>
              <w:rPr>
                <w:sz w:val="21"/>
                <w:szCs w:val="21"/>
              </w:rPr>
            </w:pPr>
            <w:r>
              <w:rPr>
                <w:sz w:val="21"/>
                <w:szCs w:val="21"/>
              </w:rPr>
              <w:t>评标价＝投标函文字报价</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jc w:val="center"/>
        </w:trPr>
        <w:tc>
          <w:tcPr>
            <w:tcW w:w="1073" w:type="dxa"/>
            <w:tcBorders>
              <w:top w:val="single" w:color="auto" w:sz="4" w:space="0"/>
              <w:right w:val="single" w:color="auto" w:sz="4" w:space="0"/>
            </w:tcBorders>
            <w:vAlign w:val="center"/>
          </w:tcPr>
          <w:p>
            <w:pPr>
              <w:snapToGrid w:val="0"/>
              <w:spacing w:line="360" w:lineRule="auto"/>
              <w:ind w:firstLine="0" w:firstLineChars="0"/>
              <w:jc w:val="center"/>
              <w:rPr>
                <w:sz w:val="21"/>
                <w:szCs w:val="21"/>
              </w:rPr>
            </w:pPr>
            <w:r>
              <w:rPr>
                <w:sz w:val="21"/>
                <w:szCs w:val="21"/>
              </w:rPr>
              <w:t>3.2.</w:t>
            </w:r>
            <w:r>
              <w:rPr>
                <w:rFonts w:hint="eastAsia"/>
                <w:sz w:val="21"/>
                <w:szCs w:val="21"/>
              </w:rPr>
              <w:t>5</w:t>
            </w:r>
          </w:p>
        </w:tc>
        <w:tc>
          <w:tcPr>
            <w:tcW w:w="1560" w:type="dxa"/>
            <w:tcBorders>
              <w:top w:val="single" w:color="auto" w:sz="4" w:space="0"/>
              <w:right w:val="single" w:color="auto" w:sz="4" w:space="0"/>
            </w:tcBorders>
            <w:tcMar>
              <w:left w:w="75" w:type="dxa"/>
            </w:tcMar>
            <w:vAlign w:val="center"/>
          </w:tcPr>
          <w:p>
            <w:pPr>
              <w:snapToGrid w:val="0"/>
              <w:spacing w:line="360" w:lineRule="auto"/>
              <w:ind w:firstLine="0" w:firstLineChars="0"/>
              <w:jc w:val="center"/>
              <w:rPr>
                <w:sz w:val="21"/>
                <w:szCs w:val="21"/>
              </w:rPr>
            </w:pPr>
            <w:r>
              <w:rPr>
                <w:sz w:val="21"/>
                <w:szCs w:val="21"/>
              </w:rPr>
              <w:t>通过商务文件和技术文件详细评审的投标人数量</w:t>
            </w:r>
          </w:p>
        </w:tc>
        <w:tc>
          <w:tcPr>
            <w:tcW w:w="5735" w:type="dxa"/>
            <w:tcBorders>
              <w:top w:val="single" w:color="auto" w:sz="4" w:space="0"/>
              <w:left w:val="single" w:color="auto" w:sz="4" w:space="0"/>
              <w:right w:val="single" w:color="auto" w:sz="4" w:space="0"/>
            </w:tcBorders>
            <w:vAlign w:val="center"/>
          </w:tcPr>
          <w:p>
            <w:pPr>
              <w:spacing w:line="360" w:lineRule="auto"/>
              <w:ind w:firstLine="0" w:firstLineChars="0"/>
              <w:rPr>
                <w:sz w:val="21"/>
                <w:szCs w:val="21"/>
              </w:rPr>
            </w:pPr>
          </w:p>
          <w:p>
            <w:pPr>
              <w:spacing w:line="360" w:lineRule="auto"/>
              <w:ind w:firstLine="0" w:firstLineChars="0"/>
              <w:rPr>
                <w:sz w:val="21"/>
                <w:szCs w:val="21"/>
              </w:rPr>
            </w:pPr>
            <w:r>
              <w:rPr>
                <w:sz w:val="21"/>
                <w:szCs w:val="21"/>
              </w:rPr>
              <w:t>按照投标人的商务及技术得分由高到低排序，选择前</w:t>
            </w:r>
            <w:r>
              <w:rPr>
                <w:rFonts w:hint="eastAsia"/>
                <w:sz w:val="21"/>
                <w:szCs w:val="21"/>
                <w:u w:val="single"/>
              </w:rPr>
              <w:t>3</w:t>
            </w:r>
            <w:r>
              <w:rPr>
                <w:sz w:val="21"/>
                <w:szCs w:val="21"/>
              </w:rPr>
              <w:t>名通过详细评审</w:t>
            </w:r>
            <w:r>
              <w:rPr>
                <w:rFonts w:hint="eastAsia"/>
                <w:sz w:val="21"/>
                <w:szCs w:val="21"/>
              </w:rPr>
              <w:t>。</w:t>
            </w:r>
          </w:p>
          <w:p>
            <w:pPr>
              <w:spacing w:line="360" w:lineRule="auto"/>
              <w:ind w:firstLine="0" w:firstLineChars="0"/>
              <w:rPr>
                <w:sz w:val="21"/>
                <w:szCs w:val="21"/>
              </w:rPr>
            </w:pPr>
          </w:p>
        </w:tc>
      </w:tr>
    </w:tbl>
    <w:p>
      <w:pPr>
        <w:spacing w:line="360" w:lineRule="auto"/>
        <w:ind w:firstLine="496"/>
        <w:rPr>
          <w:spacing w:val="4"/>
          <w:sz w:val="24"/>
        </w:rPr>
      </w:pPr>
      <w:r>
        <w:rPr>
          <w:spacing w:val="4"/>
          <w:sz w:val="24"/>
        </w:rPr>
        <w:br w:type="page"/>
      </w:r>
    </w:p>
    <w:p>
      <w:pPr>
        <w:spacing w:line="360" w:lineRule="auto"/>
        <w:ind w:firstLineChars="0"/>
        <w:jc w:val="right"/>
        <w:rPr>
          <w:sz w:val="24"/>
        </w:rPr>
      </w:pPr>
      <w:r>
        <w:rPr>
          <w:spacing w:val="4"/>
          <w:sz w:val="24"/>
        </w:rPr>
        <w:t>续上表</w:t>
      </w:r>
    </w:p>
    <w:tbl>
      <w:tblPr>
        <w:tblStyle w:val="56"/>
        <w:tblW w:w="56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848"/>
        <w:gridCol w:w="709"/>
        <w:gridCol w:w="1415"/>
        <w:gridCol w:w="715"/>
        <w:gridCol w:w="4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06" w:type="pct"/>
            <w:gridSpan w:val="5"/>
            <w:tcBorders>
              <w:top w:val="single" w:color="auto" w:sz="4" w:space="0"/>
            </w:tcBorders>
            <w:noWrap w:val="0"/>
            <w:vAlign w:val="top"/>
          </w:tcPr>
          <w:p>
            <w:pPr>
              <w:spacing w:line="360" w:lineRule="auto"/>
              <w:jc w:val="center"/>
              <w:rPr>
                <w:rFonts w:ascii="Times New Roman" w:hAnsi="Times New Roman" w:eastAsia="宋体" w:cs="Times New Roman"/>
                <w:b/>
                <w:szCs w:val="24"/>
              </w:rPr>
            </w:pPr>
            <w:r>
              <w:rPr>
                <w:rFonts w:ascii="Times New Roman" w:hAnsi="Times New Roman" w:eastAsia="宋体" w:cs="Times New Roman"/>
                <w:b/>
                <w:szCs w:val="24"/>
              </w:rPr>
              <w:t>评分因素与权重分值</w:t>
            </w:r>
          </w:p>
        </w:tc>
        <w:tc>
          <w:tcPr>
            <w:tcW w:w="2593" w:type="pct"/>
            <w:vMerge w:val="restart"/>
            <w:tcBorders>
              <w:top w:val="single" w:color="auto" w:sz="4" w:space="0"/>
            </w:tcBorders>
            <w:noWrap w:val="0"/>
            <w:vAlign w:val="center"/>
          </w:tcPr>
          <w:p>
            <w:pPr>
              <w:spacing w:line="360" w:lineRule="auto"/>
              <w:jc w:val="center"/>
              <w:rPr>
                <w:rFonts w:ascii="Times New Roman" w:hAnsi="Times New Roman" w:eastAsia="宋体" w:cs="Times New Roman"/>
                <w:b/>
                <w:szCs w:val="24"/>
              </w:rPr>
            </w:pPr>
            <w:r>
              <w:rPr>
                <w:rFonts w:ascii="Times New Roman" w:hAnsi="Times New Roman" w:eastAsia="宋体" w:cs="Times New Roman"/>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3" w:type="pct"/>
            <w:noWrap w:val="0"/>
            <w:vAlign w:val="center"/>
          </w:tcPr>
          <w:p>
            <w:pPr>
              <w:spacing w:line="360" w:lineRule="auto"/>
              <w:ind w:left="0" w:leftChars="0" w:firstLine="0" w:firstLineChars="0"/>
              <w:jc w:val="both"/>
              <w:rPr>
                <w:rFonts w:ascii="Times New Roman" w:hAnsi="Times New Roman" w:eastAsia="宋体" w:cs="Times New Roman"/>
                <w:b/>
                <w:szCs w:val="24"/>
              </w:rPr>
            </w:pPr>
            <w:r>
              <w:rPr>
                <w:rFonts w:ascii="Times New Roman" w:hAnsi="Times New Roman" w:eastAsia="宋体" w:cs="Times New Roman"/>
                <w:b/>
                <w:szCs w:val="24"/>
              </w:rPr>
              <w:t>条款号</w:t>
            </w:r>
          </w:p>
        </w:tc>
        <w:tc>
          <w:tcPr>
            <w:tcW w:w="440" w:type="pct"/>
            <w:noWrap w:val="0"/>
            <w:vAlign w:val="center"/>
          </w:tcPr>
          <w:p>
            <w:pPr>
              <w:spacing w:line="360" w:lineRule="auto"/>
              <w:ind w:left="0" w:leftChars="0" w:firstLine="0" w:firstLineChars="0"/>
              <w:jc w:val="both"/>
              <w:rPr>
                <w:rFonts w:ascii="Times New Roman" w:hAnsi="Times New Roman" w:eastAsia="宋体" w:cs="Times New Roman"/>
                <w:b/>
                <w:szCs w:val="24"/>
              </w:rPr>
            </w:pPr>
            <w:r>
              <w:rPr>
                <w:rFonts w:ascii="Times New Roman" w:hAnsi="Times New Roman" w:eastAsia="宋体" w:cs="Times New Roman"/>
                <w:b/>
                <w:szCs w:val="24"/>
              </w:rPr>
              <w:t>评分因素</w:t>
            </w:r>
          </w:p>
        </w:tc>
        <w:tc>
          <w:tcPr>
            <w:tcW w:w="368" w:type="pct"/>
            <w:noWrap w:val="0"/>
            <w:vAlign w:val="center"/>
          </w:tcPr>
          <w:p>
            <w:pPr>
              <w:spacing w:line="360" w:lineRule="auto"/>
              <w:ind w:left="0" w:leftChars="0" w:firstLine="0" w:firstLineChars="0"/>
              <w:jc w:val="both"/>
              <w:rPr>
                <w:rFonts w:ascii="Times New Roman" w:hAnsi="Times New Roman" w:eastAsia="宋体" w:cs="Times New Roman"/>
                <w:b/>
                <w:szCs w:val="24"/>
              </w:rPr>
            </w:pPr>
            <w:r>
              <w:rPr>
                <w:rFonts w:ascii="Times New Roman" w:hAnsi="Times New Roman" w:eastAsia="宋体" w:cs="Times New Roman"/>
                <w:b/>
                <w:szCs w:val="24"/>
              </w:rPr>
              <w:t>评分因素权重分值</w:t>
            </w:r>
          </w:p>
        </w:tc>
        <w:tc>
          <w:tcPr>
            <w:tcW w:w="734" w:type="pct"/>
            <w:noWrap w:val="0"/>
            <w:vAlign w:val="center"/>
          </w:tcPr>
          <w:p>
            <w:pPr>
              <w:spacing w:line="360" w:lineRule="auto"/>
              <w:ind w:left="0" w:leftChars="0" w:firstLine="0" w:firstLineChars="0"/>
              <w:jc w:val="both"/>
              <w:rPr>
                <w:rFonts w:ascii="Times New Roman" w:hAnsi="Times New Roman" w:eastAsia="宋体" w:cs="Times New Roman"/>
                <w:b/>
                <w:szCs w:val="24"/>
              </w:rPr>
            </w:pPr>
            <w:r>
              <w:rPr>
                <w:rFonts w:ascii="Times New Roman" w:hAnsi="Times New Roman" w:eastAsia="宋体" w:cs="Times New Roman"/>
                <w:b/>
                <w:szCs w:val="24"/>
              </w:rPr>
              <w:t>各评分因素细分项</w:t>
            </w:r>
          </w:p>
        </w:tc>
        <w:tc>
          <w:tcPr>
            <w:tcW w:w="369" w:type="pct"/>
            <w:noWrap w:val="0"/>
            <w:vAlign w:val="center"/>
          </w:tcPr>
          <w:p>
            <w:pPr>
              <w:spacing w:line="360" w:lineRule="auto"/>
              <w:ind w:left="0" w:leftChars="0" w:firstLine="0" w:firstLineChars="0"/>
              <w:jc w:val="both"/>
              <w:rPr>
                <w:rFonts w:ascii="Times New Roman" w:hAnsi="Times New Roman" w:eastAsia="宋体" w:cs="Times New Roman"/>
                <w:b/>
                <w:szCs w:val="24"/>
              </w:rPr>
            </w:pPr>
            <w:r>
              <w:rPr>
                <w:rFonts w:ascii="Times New Roman" w:hAnsi="Times New Roman" w:eastAsia="宋体" w:cs="Times New Roman"/>
                <w:b/>
                <w:szCs w:val="24"/>
              </w:rPr>
              <w:t>分值</w:t>
            </w:r>
          </w:p>
        </w:tc>
        <w:tc>
          <w:tcPr>
            <w:tcW w:w="2593" w:type="pct"/>
            <w:vMerge w:val="continue"/>
            <w:noWrap w:val="0"/>
            <w:vAlign w:val="top"/>
          </w:tcPr>
          <w:p>
            <w:pPr>
              <w:spacing w:line="360" w:lineRule="auto"/>
              <w:jc w:val="center"/>
              <w:rPr>
                <w:rFonts w:ascii="Times New Roman" w:hAnsi="Times New Roman" w:eastAsia="宋体"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restart"/>
            <w:noWrap w:val="0"/>
            <w:vAlign w:val="center"/>
          </w:tcPr>
          <w:p>
            <w:pPr>
              <w:spacing w:line="360" w:lineRule="auto"/>
              <w:ind w:left="0" w:leftChars="0" w:firstLine="0" w:firstLineChars="0"/>
              <w:jc w:val="both"/>
              <w:rPr>
                <w:rFonts w:ascii="Times New Roman" w:hAnsi="Times New Roman" w:eastAsia="宋体" w:cs="Times New Roman"/>
                <w:szCs w:val="24"/>
              </w:rPr>
            </w:pPr>
            <w:r>
              <w:rPr>
                <w:rFonts w:ascii="Times New Roman" w:hAnsi="Times New Roman" w:eastAsia="宋体" w:cs="Times New Roman"/>
                <w:szCs w:val="24"/>
              </w:rPr>
              <w:t>2.2.2（</w:t>
            </w:r>
            <w:r>
              <w:rPr>
                <w:rFonts w:hint="eastAsia" w:ascii="Times New Roman" w:hAnsi="Times New Roman" w:eastAsia="宋体" w:cs="Times New Roman"/>
                <w:szCs w:val="24"/>
              </w:rPr>
              <w:t>1</w:t>
            </w:r>
            <w:r>
              <w:rPr>
                <w:rFonts w:ascii="Times New Roman" w:hAnsi="Times New Roman" w:eastAsia="宋体" w:cs="Times New Roman"/>
                <w:szCs w:val="24"/>
              </w:rPr>
              <w:t>）</w:t>
            </w:r>
          </w:p>
        </w:tc>
        <w:tc>
          <w:tcPr>
            <w:tcW w:w="440" w:type="pct"/>
            <w:vMerge w:val="restart"/>
            <w:noWrap w:val="0"/>
            <w:vAlign w:val="center"/>
          </w:tcPr>
          <w:p>
            <w:pPr>
              <w:spacing w:line="360" w:lineRule="auto"/>
              <w:ind w:left="0" w:leftChars="0" w:firstLine="0" w:firstLineChars="0"/>
              <w:jc w:val="both"/>
              <w:rPr>
                <w:rFonts w:ascii="Times New Roman" w:hAnsi="Times New Roman" w:eastAsia="宋体" w:cs="Times New Roman"/>
                <w:szCs w:val="24"/>
              </w:rPr>
            </w:pPr>
            <w:r>
              <w:rPr>
                <w:rFonts w:ascii="Times New Roman" w:hAnsi="Times New Roman" w:eastAsia="宋体" w:cs="Times New Roman"/>
                <w:szCs w:val="24"/>
              </w:rPr>
              <w:t>施工组织设计</w:t>
            </w:r>
          </w:p>
        </w:tc>
        <w:tc>
          <w:tcPr>
            <w:tcW w:w="368" w:type="pct"/>
            <w:vMerge w:val="restart"/>
            <w:noWrap w:val="0"/>
            <w:vAlign w:val="center"/>
          </w:tcPr>
          <w:p>
            <w:pPr>
              <w:spacing w:line="360" w:lineRule="auto"/>
              <w:ind w:left="0" w:leftChars="0" w:firstLine="0" w:firstLineChars="0"/>
              <w:jc w:val="both"/>
              <w:rPr>
                <w:rFonts w:ascii="Times New Roman" w:hAnsi="Times New Roman" w:eastAsia="宋体" w:cs="Times New Roman"/>
                <w:szCs w:val="24"/>
                <w:u w:val="single"/>
              </w:rPr>
            </w:pPr>
            <w:r>
              <w:rPr>
                <w:rFonts w:hint="eastAsia" w:ascii="Times New Roman" w:hAnsi="Times New Roman" w:eastAsia="宋体" w:cs="Times New Roman"/>
                <w:szCs w:val="24"/>
              </w:rPr>
              <w:t>40</w:t>
            </w:r>
            <w:r>
              <w:rPr>
                <w:rFonts w:ascii="Times New Roman" w:hAnsi="Times New Roman" w:eastAsia="宋体" w:cs="Times New Roman"/>
                <w:szCs w:val="24"/>
              </w:rPr>
              <w:t>分</w:t>
            </w:r>
          </w:p>
        </w:tc>
        <w:tc>
          <w:tcPr>
            <w:tcW w:w="734" w:type="pct"/>
            <w:noWrap w:val="0"/>
            <w:vAlign w:val="center"/>
          </w:tcPr>
          <w:p>
            <w:pPr>
              <w:spacing w:line="360" w:lineRule="auto"/>
              <w:ind w:left="0" w:leftChars="0" w:firstLine="0" w:firstLineChars="0"/>
              <w:jc w:val="both"/>
              <w:rPr>
                <w:rFonts w:ascii="Times New Roman" w:hAnsi="Times New Roman" w:eastAsia="宋体" w:cs="Times New Roman"/>
                <w:szCs w:val="24"/>
                <w:highlight w:val="none"/>
              </w:rPr>
            </w:pPr>
            <w:r>
              <w:rPr>
                <w:rFonts w:ascii="Times New Roman" w:hAnsi="Times New Roman" w:eastAsia="宋体" w:cs="Times New Roman"/>
                <w:szCs w:val="24"/>
                <w:highlight w:val="none"/>
              </w:rPr>
              <w:t>总体施工组织布置及规划</w:t>
            </w:r>
          </w:p>
        </w:tc>
        <w:tc>
          <w:tcPr>
            <w:tcW w:w="369" w:type="pct"/>
            <w:noWrap w:val="0"/>
            <w:vAlign w:val="center"/>
          </w:tcPr>
          <w:p>
            <w:pPr>
              <w:spacing w:before="65" w:line="220" w:lineRule="auto"/>
              <w:ind w:left="0" w:leftChars="0" w:firstLine="0" w:firstLineChars="0"/>
              <w:jc w:val="both"/>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总体施工组织布置及规划</w:t>
            </w:r>
            <w:r>
              <w:rPr>
                <w:rFonts w:hint="eastAsia" w:ascii="Times New Roman" w:hAnsi="Times New Roman" w:eastAsia="宋体" w:cs="Times New Roman"/>
                <w:szCs w:val="24"/>
                <w:highlight w:val="none"/>
              </w:rPr>
              <w:t>进行评审。</w:t>
            </w:r>
          </w:p>
          <w:p>
            <w:pPr>
              <w:spacing w:before="125" w:line="276" w:lineRule="auto"/>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line="276" w:lineRule="auto"/>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before="125" w:line="360" w:lineRule="auto"/>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noWrap w:val="0"/>
            <w:vAlign w:val="center"/>
          </w:tcPr>
          <w:p>
            <w:pPr>
              <w:spacing w:line="360" w:lineRule="auto"/>
              <w:jc w:val="center"/>
              <w:rPr>
                <w:rFonts w:ascii="Times New Roman" w:hAnsi="Times New Roman" w:eastAsia="宋体" w:cs="Times New Roman"/>
                <w:szCs w:val="24"/>
              </w:rPr>
            </w:pPr>
          </w:p>
        </w:tc>
        <w:tc>
          <w:tcPr>
            <w:tcW w:w="440" w:type="pct"/>
            <w:vMerge w:val="continue"/>
            <w:noWrap w:val="0"/>
            <w:vAlign w:val="center"/>
          </w:tcPr>
          <w:p>
            <w:pPr>
              <w:spacing w:line="360" w:lineRule="auto"/>
              <w:jc w:val="center"/>
              <w:rPr>
                <w:rFonts w:ascii="Times New Roman" w:hAnsi="Times New Roman" w:eastAsia="宋体" w:cs="Times New Roman"/>
                <w:szCs w:val="24"/>
              </w:rPr>
            </w:pPr>
          </w:p>
        </w:tc>
        <w:tc>
          <w:tcPr>
            <w:tcW w:w="368" w:type="pct"/>
            <w:vMerge w:val="continue"/>
            <w:noWrap w:val="0"/>
            <w:vAlign w:val="center"/>
          </w:tcPr>
          <w:p>
            <w:pPr>
              <w:spacing w:line="360" w:lineRule="auto"/>
              <w:jc w:val="center"/>
              <w:rPr>
                <w:rFonts w:ascii="Times New Roman" w:hAnsi="Times New Roman" w:eastAsia="宋体" w:cs="Times New Roman"/>
                <w:szCs w:val="24"/>
                <w:u w:val="single"/>
              </w:rPr>
            </w:pPr>
          </w:p>
        </w:tc>
        <w:tc>
          <w:tcPr>
            <w:tcW w:w="734" w:type="pct"/>
            <w:noWrap w:val="0"/>
            <w:vAlign w:val="center"/>
          </w:tcPr>
          <w:p>
            <w:pPr>
              <w:spacing w:line="360" w:lineRule="auto"/>
              <w:ind w:left="0" w:leftChars="0" w:firstLine="0" w:firstLineChars="0"/>
              <w:jc w:val="both"/>
              <w:rPr>
                <w:rFonts w:ascii="Times New Roman" w:hAnsi="Times New Roman" w:eastAsia="宋体" w:cs="Times New Roman"/>
                <w:szCs w:val="24"/>
                <w:highlight w:val="none"/>
              </w:rPr>
            </w:pPr>
            <w:r>
              <w:rPr>
                <w:rFonts w:ascii="Times New Roman" w:hAnsi="Times New Roman" w:eastAsia="宋体" w:cs="Times New Roman"/>
                <w:szCs w:val="24"/>
                <w:highlight w:val="none"/>
              </w:rPr>
              <w:t>主要工程项目的施工方案、方法与技术措施</w:t>
            </w:r>
          </w:p>
        </w:tc>
        <w:tc>
          <w:tcPr>
            <w:tcW w:w="369" w:type="pct"/>
            <w:noWrap w:val="0"/>
            <w:vAlign w:val="center"/>
          </w:tcPr>
          <w:p>
            <w:pPr>
              <w:spacing w:before="65" w:line="220" w:lineRule="auto"/>
              <w:ind w:left="0" w:leftChars="0" w:firstLine="0" w:firstLineChars="0"/>
              <w:jc w:val="both"/>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结合本工程特点,依据投标人提出的主要工程项目的施工方案、方法与技术措施进行评审。</w:t>
            </w:r>
          </w:p>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方案完善、措施得当的得3≤F≤5分；</w:t>
            </w:r>
          </w:p>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方案一般，措施一般的得1≤F＜3分；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方案较差，措施无针对性的得0≤F＜1分。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noWrap w:val="0"/>
            <w:vAlign w:val="center"/>
          </w:tcPr>
          <w:p>
            <w:pPr>
              <w:spacing w:line="360" w:lineRule="auto"/>
              <w:jc w:val="center"/>
              <w:rPr>
                <w:rFonts w:ascii="Times New Roman" w:hAnsi="Times New Roman" w:eastAsia="宋体" w:cs="Times New Roman"/>
                <w:szCs w:val="24"/>
              </w:rPr>
            </w:pPr>
          </w:p>
        </w:tc>
        <w:tc>
          <w:tcPr>
            <w:tcW w:w="440" w:type="pct"/>
            <w:vMerge w:val="continue"/>
            <w:noWrap w:val="0"/>
            <w:vAlign w:val="center"/>
          </w:tcPr>
          <w:p>
            <w:pPr>
              <w:spacing w:line="360" w:lineRule="auto"/>
              <w:jc w:val="center"/>
              <w:rPr>
                <w:rFonts w:ascii="Times New Roman" w:hAnsi="Times New Roman" w:eastAsia="宋体" w:cs="Times New Roman"/>
                <w:szCs w:val="24"/>
              </w:rPr>
            </w:pPr>
          </w:p>
        </w:tc>
        <w:tc>
          <w:tcPr>
            <w:tcW w:w="368" w:type="pct"/>
            <w:vMerge w:val="continue"/>
            <w:noWrap w:val="0"/>
            <w:vAlign w:val="center"/>
          </w:tcPr>
          <w:p>
            <w:pPr>
              <w:spacing w:line="360" w:lineRule="auto"/>
              <w:jc w:val="center"/>
              <w:rPr>
                <w:rFonts w:ascii="Times New Roman" w:hAnsi="Times New Roman" w:eastAsia="宋体" w:cs="Times New Roman"/>
                <w:szCs w:val="24"/>
                <w:u w:val="single"/>
              </w:rPr>
            </w:pPr>
          </w:p>
        </w:tc>
        <w:tc>
          <w:tcPr>
            <w:tcW w:w="734"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工期保证体系及保证措施</w:t>
            </w:r>
          </w:p>
        </w:tc>
        <w:tc>
          <w:tcPr>
            <w:tcW w:w="369"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工期保证体系及保证措施</w:t>
            </w:r>
            <w:r>
              <w:rPr>
                <w:rFonts w:hint="eastAsia" w:ascii="Times New Roman" w:hAnsi="Times New Roman" w:eastAsia="宋体" w:cs="Times New Roman"/>
                <w:szCs w:val="24"/>
                <w:highlight w:val="none"/>
              </w:rPr>
              <w:t>进行评审。</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noWrap w:val="0"/>
            <w:vAlign w:val="center"/>
          </w:tcPr>
          <w:p>
            <w:pPr>
              <w:spacing w:line="360" w:lineRule="auto"/>
              <w:jc w:val="center"/>
              <w:rPr>
                <w:rFonts w:ascii="Times New Roman" w:hAnsi="Times New Roman" w:eastAsia="宋体" w:cs="Times New Roman"/>
                <w:szCs w:val="24"/>
              </w:rPr>
            </w:pPr>
          </w:p>
        </w:tc>
        <w:tc>
          <w:tcPr>
            <w:tcW w:w="440" w:type="pct"/>
            <w:vMerge w:val="continue"/>
            <w:noWrap w:val="0"/>
            <w:vAlign w:val="center"/>
          </w:tcPr>
          <w:p>
            <w:pPr>
              <w:spacing w:line="360" w:lineRule="auto"/>
              <w:jc w:val="center"/>
              <w:rPr>
                <w:rFonts w:ascii="Times New Roman" w:hAnsi="Times New Roman" w:eastAsia="宋体" w:cs="Times New Roman"/>
                <w:szCs w:val="24"/>
              </w:rPr>
            </w:pPr>
          </w:p>
        </w:tc>
        <w:tc>
          <w:tcPr>
            <w:tcW w:w="368" w:type="pct"/>
            <w:vMerge w:val="continue"/>
            <w:noWrap w:val="0"/>
            <w:vAlign w:val="center"/>
          </w:tcPr>
          <w:p>
            <w:pPr>
              <w:spacing w:line="360" w:lineRule="auto"/>
              <w:jc w:val="center"/>
              <w:rPr>
                <w:rFonts w:ascii="Times New Roman" w:hAnsi="Times New Roman" w:eastAsia="宋体" w:cs="Times New Roman"/>
                <w:szCs w:val="24"/>
                <w:u w:val="single"/>
              </w:rPr>
            </w:pPr>
          </w:p>
        </w:tc>
        <w:tc>
          <w:tcPr>
            <w:tcW w:w="734"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工程质量管理体系及保证措施</w:t>
            </w:r>
          </w:p>
        </w:tc>
        <w:tc>
          <w:tcPr>
            <w:tcW w:w="369"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工程质量管理体系及保证措施</w:t>
            </w:r>
            <w:r>
              <w:rPr>
                <w:rFonts w:hint="eastAsia" w:ascii="Times New Roman" w:hAnsi="Times New Roman" w:eastAsia="宋体" w:cs="Times New Roman"/>
                <w:szCs w:val="24"/>
                <w:highlight w:val="none"/>
              </w:rPr>
              <w:t>进行评审。</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noWrap w:val="0"/>
            <w:vAlign w:val="center"/>
          </w:tcPr>
          <w:p>
            <w:pPr>
              <w:spacing w:line="360" w:lineRule="auto"/>
              <w:jc w:val="center"/>
              <w:rPr>
                <w:rFonts w:ascii="Times New Roman" w:hAnsi="Times New Roman" w:eastAsia="宋体" w:cs="Times New Roman"/>
                <w:szCs w:val="24"/>
              </w:rPr>
            </w:pPr>
          </w:p>
        </w:tc>
        <w:tc>
          <w:tcPr>
            <w:tcW w:w="440" w:type="pct"/>
            <w:vMerge w:val="continue"/>
            <w:noWrap w:val="0"/>
            <w:vAlign w:val="center"/>
          </w:tcPr>
          <w:p>
            <w:pPr>
              <w:spacing w:line="360" w:lineRule="auto"/>
              <w:jc w:val="center"/>
              <w:rPr>
                <w:rFonts w:ascii="Times New Roman" w:hAnsi="Times New Roman" w:eastAsia="宋体" w:cs="Times New Roman"/>
                <w:szCs w:val="24"/>
              </w:rPr>
            </w:pPr>
          </w:p>
        </w:tc>
        <w:tc>
          <w:tcPr>
            <w:tcW w:w="368" w:type="pct"/>
            <w:vMerge w:val="continue"/>
            <w:noWrap w:val="0"/>
            <w:vAlign w:val="center"/>
          </w:tcPr>
          <w:p>
            <w:pPr>
              <w:spacing w:line="360" w:lineRule="auto"/>
              <w:jc w:val="center"/>
              <w:rPr>
                <w:rFonts w:ascii="Times New Roman" w:hAnsi="Times New Roman" w:eastAsia="宋体" w:cs="Times New Roman"/>
                <w:szCs w:val="24"/>
                <w:u w:val="single"/>
              </w:rPr>
            </w:pPr>
          </w:p>
        </w:tc>
        <w:tc>
          <w:tcPr>
            <w:tcW w:w="734"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安全生产管理体系及保证措施</w:t>
            </w:r>
          </w:p>
        </w:tc>
        <w:tc>
          <w:tcPr>
            <w:tcW w:w="369"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安全生产管理体系及保证措施</w:t>
            </w:r>
            <w:r>
              <w:rPr>
                <w:rFonts w:hint="eastAsia" w:ascii="Times New Roman" w:hAnsi="Times New Roman" w:eastAsia="宋体" w:cs="Times New Roman"/>
                <w:szCs w:val="24"/>
                <w:highlight w:val="none"/>
              </w:rPr>
              <w:t>进行评审。</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noWrap w:val="0"/>
            <w:vAlign w:val="center"/>
          </w:tcPr>
          <w:p>
            <w:pPr>
              <w:spacing w:line="360" w:lineRule="auto"/>
              <w:jc w:val="center"/>
              <w:rPr>
                <w:rFonts w:ascii="Times New Roman" w:hAnsi="Times New Roman" w:eastAsia="宋体" w:cs="Times New Roman"/>
                <w:szCs w:val="24"/>
              </w:rPr>
            </w:pPr>
          </w:p>
        </w:tc>
        <w:tc>
          <w:tcPr>
            <w:tcW w:w="440" w:type="pct"/>
            <w:vMerge w:val="continue"/>
            <w:noWrap w:val="0"/>
            <w:vAlign w:val="center"/>
          </w:tcPr>
          <w:p>
            <w:pPr>
              <w:spacing w:line="360" w:lineRule="auto"/>
              <w:jc w:val="center"/>
              <w:rPr>
                <w:rFonts w:ascii="Times New Roman" w:hAnsi="Times New Roman" w:eastAsia="宋体" w:cs="Times New Roman"/>
                <w:szCs w:val="24"/>
              </w:rPr>
            </w:pPr>
          </w:p>
        </w:tc>
        <w:tc>
          <w:tcPr>
            <w:tcW w:w="368" w:type="pct"/>
            <w:vMerge w:val="continue"/>
            <w:noWrap w:val="0"/>
            <w:vAlign w:val="center"/>
          </w:tcPr>
          <w:p>
            <w:pPr>
              <w:spacing w:line="360" w:lineRule="auto"/>
              <w:jc w:val="center"/>
              <w:rPr>
                <w:rFonts w:ascii="Times New Roman" w:hAnsi="Times New Roman" w:eastAsia="宋体" w:cs="Times New Roman"/>
                <w:szCs w:val="24"/>
              </w:rPr>
            </w:pPr>
          </w:p>
        </w:tc>
        <w:tc>
          <w:tcPr>
            <w:tcW w:w="734"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环境保护、水土保持保证体系及保证措施</w:t>
            </w:r>
          </w:p>
        </w:tc>
        <w:tc>
          <w:tcPr>
            <w:tcW w:w="369"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环境保护、水土保持保证体系及保证措施</w:t>
            </w:r>
            <w:r>
              <w:rPr>
                <w:rFonts w:hint="eastAsia" w:ascii="Times New Roman" w:hAnsi="Times New Roman" w:eastAsia="宋体" w:cs="Times New Roman"/>
                <w:szCs w:val="24"/>
                <w:highlight w:val="none"/>
              </w:rPr>
              <w:t>进行评审。</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noWrap w:val="0"/>
            <w:vAlign w:val="center"/>
          </w:tcPr>
          <w:p>
            <w:pPr>
              <w:spacing w:line="360" w:lineRule="auto"/>
              <w:jc w:val="center"/>
              <w:rPr>
                <w:rFonts w:ascii="Times New Roman" w:hAnsi="Times New Roman" w:eastAsia="宋体" w:cs="Times New Roman"/>
                <w:szCs w:val="24"/>
              </w:rPr>
            </w:pPr>
          </w:p>
        </w:tc>
        <w:tc>
          <w:tcPr>
            <w:tcW w:w="440" w:type="pct"/>
            <w:vMerge w:val="continue"/>
            <w:noWrap w:val="0"/>
            <w:vAlign w:val="center"/>
          </w:tcPr>
          <w:p>
            <w:pPr>
              <w:spacing w:line="360" w:lineRule="auto"/>
              <w:jc w:val="center"/>
              <w:rPr>
                <w:rFonts w:ascii="Times New Roman" w:hAnsi="Times New Roman" w:eastAsia="宋体" w:cs="Times New Roman"/>
                <w:szCs w:val="24"/>
              </w:rPr>
            </w:pPr>
          </w:p>
        </w:tc>
        <w:tc>
          <w:tcPr>
            <w:tcW w:w="368" w:type="pct"/>
            <w:vMerge w:val="continue"/>
            <w:noWrap w:val="0"/>
            <w:vAlign w:val="center"/>
          </w:tcPr>
          <w:p>
            <w:pPr>
              <w:spacing w:line="360" w:lineRule="auto"/>
              <w:jc w:val="center"/>
              <w:rPr>
                <w:rFonts w:ascii="Times New Roman" w:hAnsi="Times New Roman" w:eastAsia="宋体" w:cs="Times New Roman"/>
                <w:b/>
                <w:szCs w:val="24"/>
              </w:rPr>
            </w:pPr>
          </w:p>
        </w:tc>
        <w:tc>
          <w:tcPr>
            <w:tcW w:w="734"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文明施工、文物保护保证体系及保证措施</w:t>
            </w:r>
          </w:p>
        </w:tc>
        <w:tc>
          <w:tcPr>
            <w:tcW w:w="369"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文明施工、文物保护保证体系及保证措施</w:t>
            </w:r>
            <w:r>
              <w:rPr>
                <w:rFonts w:hint="eastAsia" w:ascii="Times New Roman" w:hAnsi="Times New Roman" w:eastAsia="宋体" w:cs="Times New Roman"/>
                <w:szCs w:val="24"/>
                <w:highlight w:val="none"/>
              </w:rPr>
              <w:t>进行评审。</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noWrap w:val="0"/>
            <w:vAlign w:val="center"/>
          </w:tcPr>
          <w:p>
            <w:pPr>
              <w:spacing w:line="360" w:lineRule="auto"/>
              <w:jc w:val="center"/>
              <w:rPr>
                <w:rFonts w:ascii="Times New Roman" w:hAnsi="Times New Roman" w:eastAsia="宋体" w:cs="Times New Roman"/>
                <w:szCs w:val="24"/>
              </w:rPr>
            </w:pPr>
          </w:p>
        </w:tc>
        <w:tc>
          <w:tcPr>
            <w:tcW w:w="440" w:type="pct"/>
            <w:vMerge w:val="continue"/>
            <w:noWrap w:val="0"/>
            <w:vAlign w:val="center"/>
          </w:tcPr>
          <w:p>
            <w:pPr>
              <w:spacing w:line="360" w:lineRule="auto"/>
              <w:jc w:val="center"/>
              <w:rPr>
                <w:rFonts w:ascii="Times New Roman" w:hAnsi="Times New Roman" w:eastAsia="宋体" w:cs="Times New Roman"/>
                <w:szCs w:val="24"/>
              </w:rPr>
            </w:pPr>
          </w:p>
        </w:tc>
        <w:tc>
          <w:tcPr>
            <w:tcW w:w="368" w:type="pct"/>
            <w:vMerge w:val="continue"/>
            <w:noWrap w:val="0"/>
            <w:vAlign w:val="center"/>
          </w:tcPr>
          <w:p>
            <w:pPr>
              <w:spacing w:line="360" w:lineRule="auto"/>
              <w:jc w:val="center"/>
              <w:rPr>
                <w:rFonts w:ascii="Times New Roman" w:hAnsi="Times New Roman" w:eastAsia="宋体" w:cs="Times New Roman"/>
                <w:b/>
                <w:szCs w:val="24"/>
              </w:rPr>
            </w:pPr>
          </w:p>
        </w:tc>
        <w:tc>
          <w:tcPr>
            <w:tcW w:w="734"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项目风险预测与防范，事故应急预案</w:t>
            </w:r>
          </w:p>
        </w:tc>
        <w:tc>
          <w:tcPr>
            <w:tcW w:w="369"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noWrap w:val="0"/>
            <w:vAlign w:val="center"/>
          </w:tcPr>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项目风险预测与防范，事故应急预案</w:t>
            </w:r>
            <w:r>
              <w:rPr>
                <w:rFonts w:hint="eastAsia" w:ascii="Times New Roman" w:hAnsi="Times New Roman" w:eastAsia="宋体" w:cs="Times New Roman"/>
                <w:szCs w:val="24"/>
                <w:highlight w:val="none"/>
              </w:rPr>
              <w:t>进行评审。</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before="125"/>
              <w:ind w:left="0" w:leftChars="0" w:firstLine="0" w:firstLineChars="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restart"/>
            <w:noWrap w:val="0"/>
            <w:vAlign w:val="center"/>
          </w:tcPr>
          <w:p>
            <w:pPr>
              <w:spacing w:line="360" w:lineRule="auto"/>
              <w:jc w:val="center"/>
              <w:rPr>
                <w:rFonts w:ascii="Times New Roman" w:hAnsi="Times New Roman" w:eastAsia="宋体" w:cs="Times New Roman"/>
                <w:szCs w:val="24"/>
              </w:rPr>
            </w:pPr>
          </w:p>
          <w:p>
            <w:pPr>
              <w:spacing w:line="360" w:lineRule="auto"/>
              <w:jc w:val="center"/>
              <w:rPr>
                <w:rFonts w:ascii="Times New Roman" w:hAnsi="Times New Roman" w:eastAsia="宋体" w:cs="Times New Roman"/>
                <w:szCs w:val="24"/>
              </w:rPr>
            </w:pPr>
          </w:p>
          <w:p>
            <w:pPr>
              <w:spacing w:line="360" w:lineRule="auto"/>
              <w:jc w:val="center"/>
              <w:rPr>
                <w:rFonts w:ascii="Times New Roman" w:hAnsi="Times New Roman" w:eastAsia="宋体" w:cs="Times New Roman"/>
                <w:szCs w:val="24"/>
              </w:rPr>
            </w:pPr>
          </w:p>
          <w:p>
            <w:pPr>
              <w:spacing w:line="360" w:lineRule="auto"/>
              <w:ind w:left="0" w:leftChars="0" w:firstLine="0" w:firstLineChars="0"/>
              <w:jc w:val="both"/>
              <w:rPr>
                <w:rFonts w:ascii="Times New Roman" w:hAnsi="Times New Roman" w:eastAsia="宋体" w:cs="Times New Roman"/>
                <w:szCs w:val="24"/>
              </w:rPr>
            </w:pPr>
            <w:r>
              <w:rPr>
                <w:rFonts w:ascii="Times New Roman" w:hAnsi="Times New Roman" w:eastAsia="宋体" w:cs="Times New Roman"/>
                <w:szCs w:val="24"/>
              </w:rPr>
              <w:t>2.2.2（</w:t>
            </w:r>
            <w:r>
              <w:rPr>
                <w:rFonts w:hint="eastAsia" w:ascii="Times New Roman" w:hAnsi="Times New Roman" w:eastAsia="宋体" w:cs="Times New Roman"/>
                <w:szCs w:val="24"/>
              </w:rPr>
              <w:t>2</w:t>
            </w:r>
            <w:r>
              <w:rPr>
                <w:rFonts w:ascii="Times New Roman" w:hAnsi="Times New Roman" w:eastAsia="宋体" w:cs="Times New Roman"/>
                <w:szCs w:val="24"/>
              </w:rPr>
              <w:t>）</w:t>
            </w:r>
          </w:p>
          <w:p>
            <w:pPr>
              <w:spacing w:line="360" w:lineRule="auto"/>
              <w:jc w:val="center"/>
              <w:rPr>
                <w:rFonts w:ascii="Times New Roman" w:hAnsi="Times New Roman" w:eastAsia="宋体" w:cs="Times New Roman"/>
                <w:szCs w:val="24"/>
              </w:rPr>
            </w:pPr>
          </w:p>
        </w:tc>
        <w:tc>
          <w:tcPr>
            <w:tcW w:w="440" w:type="pct"/>
            <w:vMerge w:val="restart"/>
            <w:noWrap w:val="0"/>
            <w:vAlign w:val="center"/>
          </w:tcPr>
          <w:p>
            <w:pPr>
              <w:spacing w:line="360" w:lineRule="auto"/>
              <w:ind w:left="0" w:leftChars="0" w:firstLine="0" w:firstLineChars="0"/>
              <w:jc w:val="both"/>
              <w:rPr>
                <w:rFonts w:ascii="Times New Roman" w:hAnsi="Times New Roman" w:eastAsia="宋体" w:cs="Times New Roman"/>
                <w:szCs w:val="24"/>
              </w:rPr>
            </w:pPr>
            <w:r>
              <w:rPr>
                <w:rFonts w:ascii="Times New Roman" w:hAnsi="Times New Roman" w:eastAsia="宋体" w:cs="Times New Roman"/>
                <w:szCs w:val="24"/>
              </w:rPr>
              <w:t>主要人员</w:t>
            </w:r>
          </w:p>
        </w:tc>
        <w:tc>
          <w:tcPr>
            <w:tcW w:w="368" w:type="pct"/>
            <w:vMerge w:val="restart"/>
            <w:noWrap w:val="0"/>
            <w:vAlign w:val="center"/>
          </w:tcPr>
          <w:p>
            <w:pPr>
              <w:spacing w:line="360" w:lineRule="auto"/>
              <w:ind w:left="0" w:leftChars="0" w:firstLine="0" w:firstLineChars="0"/>
              <w:jc w:val="both"/>
              <w:rPr>
                <w:rFonts w:ascii="Times New Roman" w:hAnsi="Times New Roman" w:eastAsia="宋体" w:cs="Times New Roman"/>
                <w:szCs w:val="24"/>
                <w:u w:val="single"/>
              </w:rPr>
            </w:pPr>
            <w:r>
              <w:rPr>
                <w:rFonts w:hint="eastAsia" w:ascii="Times New Roman" w:hAnsi="Times New Roman" w:eastAsia="宋体" w:cs="Times New Roman"/>
                <w:szCs w:val="24"/>
              </w:rPr>
              <w:t>40</w:t>
            </w:r>
            <w:r>
              <w:rPr>
                <w:rFonts w:ascii="Times New Roman" w:hAnsi="Times New Roman" w:eastAsia="宋体" w:cs="Times New Roman"/>
                <w:szCs w:val="24"/>
              </w:rPr>
              <w:t>分</w:t>
            </w:r>
          </w:p>
          <w:p>
            <w:pPr>
              <w:spacing w:line="360" w:lineRule="auto"/>
              <w:ind w:firstLine="420" w:firstLineChars="200"/>
              <w:jc w:val="center"/>
              <w:rPr>
                <w:rFonts w:ascii="Times New Roman" w:hAnsi="Times New Roman" w:eastAsia="宋体" w:cs="Times New Roman"/>
                <w:szCs w:val="24"/>
                <w:u w:val="single"/>
              </w:rPr>
            </w:pPr>
          </w:p>
        </w:tc>
        <w:tc>
          <w:tcPr>
            <w:tcW w:w="734"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项目经理任职资格与业绩</w:t>
            </w:r>
          </w:p>
        </w:tc>
        <w:tc>
          <w:tcPr>
            <w:tcW w:w="369"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2</w:t>
            </w:r>
            <w:r>
              <w:rPr>
                <w:rFonts w:hint="eastAsia" w:cs="Times New Roman"/>
                <w:szCs w:val="24"/>
                <w:highlight w:val="none"/>
                <w:lang w:val="en-US" w:eastAsia="zh-CN"/>
              </w:rPr>
              <w:t>0</w:t>
            </w:r>
            <w:r>
              <w:rPr>
                <w:rFonts w:hint="eastAsia" w:ascii="Times New Roman" w:hAnsi="Times New Roman" w:eastAsia="宋体" w:cs="Times New Roman"/>
                <w:szCs w:val="24"/>
                <w:highlight w:val="none"/>
              </w:rPr>
              <w:t>分</w:t>
            </w:r>
          </w:p>
        </w:tc>
        <w:tc>
          <w:tcPr>
            <w:tcW w:w="2593"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1、自20</w:t>
            </w:r>
            <w:r>
              <w:rPr>
                <w:rFonts w:hint="eastAsia" w:ascii="Times New Roman" w:hAnsi="Times New Roman" w:eastAsia="宋体" w:cs="Times New Roman"/>
                <w:szCs w:val="24"/>
                <w:highlight w:val="none"/>
                <w:lang w:val="en-US" w:eastAsia="zh-CN"/>
              </w:rPr>
              <w:t>20</w:t>
            </w:r>
            <w:r>
              <w:rPr>
                <w:rFonts w:hint="eastAsia" w:ascii="Times New Roman" w:hAnsi="Times New Roman" w:eastAsia="宋体" w:cs="Times New Roman"/>
                <w:szCs w:val="24"/>
                <w:highlight w:val="none"/>
              </w:rPr>
              <w:t>年1月1日（以交工或竣工时间为准） 以来，在中华人民共和国境内具备下列条件：单个合同金额不低于</w:t>
            </w:r>
            <w:r>
              <w:rPr>
                <w:rFonts w:hint="eastAsia" w:ascii="Times New Roman" w:hAnsi="Times New Roman" w:eastAsia="宋体" w:cs="Times New Roman"/>
                <w:szCs w:val="24"/>
                <w:highlight w:val="none"/>
                <w:lang w:val="en-US" w:eastAsia="zh-CN"/>
              </w:rPr>
              <w:t>700</w:t>
            </w:r>
            <w:r>
              <w:rPr>
                <w:rFonts w:hint="eastAsia" w:ascii="Times New Roman" w:hAnsi="Times New Roman" w:eastAsia="宋体" w:cs="Times New Roman"/>
                <w:szCs w:val="24"/>
                <w:highlight w:val="none"/>
              </w:rPr>
              <w:t xml:space="preserve">万元的公路工程施工业绩。每个业绩得10分，本项最高可得10分。 </w:t>
            </w:r>
          </w:p>
          <w:p>
            <w:pPr>
              <w:spacing w:before="125"/>
              <w:ind w:left="0" w:leftChars="0" w:firstLine="0" w:firstLineChars="0"/>
              <w:jc w:val="left"/>
              <w:rPr>
                <w:rFonts w:hint="eastAsia" w:ascii="Times New Roman" w:hAnsi="Times New Roman" w:eastAsia="宋体" w:cs="Times New Roman"/>
                <w:b/>
                <w:bCs/>
                <w:szCs w:val="24"/>
                <w:highlight w:val="none"/>
              </w:rPr>
            </w:pPr>
            <w:r>
              <w:rPr>
                <w:rFonts w:hint="eastAsia" w:ascii="Times New Roman" w:hAnsi="Times New Roman" w:eastAsia="宋体" w:cs="Times New Roman"/>
                <w:b/>
                <w:bCs/>
                <w:szCs w:val="24"/>
                <w:highlight w:val="none"/>
              </w:rPr>
              <w:t>注：投标人需提供的业绩证明材料见投标人须知总 则第3.5.5项规定。提供的项目经理业绩证明资料应反映出本招标项目的项目经理在此业绩中担任过项目经理或项目总工</w:t>
            </w:r>
            <w:r>
              <w:rPr>
                <w:rFonts w:hint="eastAsia" w:ascii="Times New Roman" w:hAnsi="Times New Roman" w:eastAsia="宋体" w:cs="Times New Roman"/>
                <w:b/>
                <w:bCs/>
                <w:szCs w:val="24"/>
                <w:highlight w:val="none"/>
                <w:lang w:val="en-US" w:eastAsia="zh-CN"/>
              </w:rPr>
              <w:t>的</w:t>
            </w:r>
            <w:r>
              <w:rPr>
                <w:rFonts w:hint="eastAsia" w:ascii="Times New Roman" w:hAnsi="Times New Roman" w:eastAsia="宋体" w:cs="Times New Roman"/>
                <w:b/>
                <w:bCs/>
                <w:szCs w:val="24"/>
                <w:highlight w:val="none"/>
              </w:rPr>
              <w:t xml:space="preserve">岗位。 </w:t>
            </w:r>
          </w:p>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 xml:space="preserve">2、拟派项目经理具备公路工程相关专业（路桥、 公路工程、公路桥梁、交通土建、交通运输等专业） </w:t>
            </w:r>
            <w:r>
              <w:rPr>
                <w:rFonts w:hint="eastAsia" w:cs="Times New Roman"/>
                <w:szCs w:val="24"/>
                <w:highlight w:val="none"/>
                <w:lang w:val="en-US" w:eastAsia="zh-CN"/>
              </w:rPr>
              <w:t>中</w:t>
            </w:r>
            <w:r>
              <w:rPr>
                <w:rFonts w:hint="eastAsia" w:ascii="Times New Roman" w:hAnsi="Times New Roman" w:eastAsia="宋体" w:cs="Times New Roman"/>
                <w:szCs w:val="24"/>
                <w:highlight w:val="none"/>
              </w:rPr>
              <w:t xml:space="preserve">级及以上职称得10分，本项最高可得10分。 </w:t>
            </w:r>
          </w:p>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b/>
                <w:bCs/>
                <w:szCs w:val="24"/>
                <w:highlight w:val="none"/>
              </w:rPr>
              <w:t>注：提供职称证书。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noWrap w:val="0"/>
            <w:vAlign w:val="center"/>
          </w:tcPr>
          <w:p>
            <w:pPr>
              <w:spacing w:line="360" w:lineRule="auto"/>
              <w:jc w:val="center"/>
              <w:rPr>
                <w:rFonts w:ascii="Times New Roman" w:hAnsi="Times New Roman" w:eastAsia="宋体" w:cs="Times New Roman"/>
                <w:szCs w:val="24"/>
              </w:rPr>
            </w:pPr>
          </w:p>
        </w:tc>
        <w:tc>
          <w:tcPr>
            <w:tcW w:w="440" w:type="pct"/>
            <w:vMerge w:val="continue"/>
            <w:noWrap w:val="0"/>
            <w:vAlign w:val="center"/>
          </w:tcPr>
          <w:p>
            <w:pPr>
              <w:spacing w:line="360" w:lineRule="auto"/>
              <w:jc w:val="center"/>
              <w:rPr>
                <w:rFonts w:ascii="Times New Roman" w:hAnsi="Times New Roman" w:eastAsia="宋体" w:cs="Times New Roman"/>
                <w:szCs w:val="24"/>
              </w:rPr>
            </w:pPr>
          </w:p>
        </w:tc>
        <w:tc>
          <w:tcPr>
            <w:tcW w:w="368" w:type="pct"/>
            <w:vMerge w:val="continue"/>
            <w:noWrap w:val="0"/>
            <w:vAlign w:val="top"/>
          </w:tcPr>
          <w:p>
            <w:pPr>
              <w:spacing w:line="360" w:lineRule="auto"/>
              <w:jc w:val="center"/>
              <w:rPr>
                <w:rFonts w:ascii="Times New Roman" w:hAnsi="Times New Roman" w:eastAsia="宋体" w:cs="Times New Roman"/>
                <w:szCs w:val="24"/>
              </w:rPr>
            </w:pPr>
          </w:p>
        </w:tc>
        <w:tc>
          <w:tcPr>
            <w:tcW w:w="734"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项目总工任职资格与业绩</w:t>
            </w:r>
          </w:p>
        </w:tc>
        <w:tc>
          <w:tcPr>
            <w:tcW w:w="369"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20分</w:t>
            </w:r>
          </w:p>
        </w:tc>
        <w:tc>
          <w:tcPr>
            <w:tcW w:w="2593"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1、自20</w:t>
            </w:r>
            <w:r>
              <w:rPr>
                <w:rFonts w:hint="eastAsia" w:ascii="Times New Roman" w:hAnsi="Times New Roman" w:eastAsia="宋体" w:cs="Times New Roman"/>
                <w:szCs w:val="24"/>
                <w:highlight w:val="none"/>
                <w:lang w:val="en-US" w:eastAsia="zh-CN"/>
              </w:rPr>
              <w:t>20</w:t>
            </w:r>
            <w:r>
              <w:rPr>
                <w:rFonts w:hint="eastAsia" w:ascii="Times New Roman" w:hAnsi="Times New Roman" w:eastAsia="宋体" w:cs="Times New Roman"/>
                <w:szCs w:val="24"/>
                <w:highlight w:val="none"/>
              </w:rPr>
              <w:t>年1月1日（以交工或竣工时间为准） 以来，在中华人民共和国境内具备下列条件：单个合同金额不低于</w:t>
            </w:r>
            <w:r>
              <w:rPr>
                <w:rFonts w:hint="eastAsia" w:ascii="Times New Roman" w:hAnsi="Times New Roman" w:eastAsia="宋体" w:cs="Times New Roman"/>
                <w:szCs w:val="24"/>
                <w:highlight w:val="none"/>
                <w:lang w:val="en-US" w:eastAsia="zh-CN"/>
              </w:rPr>
              <w:t>700</w:t>
            </w:r>
            <w:r>
              <w:rPr>
                <w:rFonts w:hint="eastAsia" w:ascii="Times New Roman" w:hAnsi="Times New Roman" w:eastAsia="宋体" w:cs="Times New Roman"/>
                <w:szCs w:val="24"/>
                <w:highlight w:val="none"/>
              </w:rPr>
              <w:t>万元的公路工程施工业绩。每个业绩得10分，本项最高可得10分。</w:t>
            </w:r>
          </w:p>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b/>
                <w:bCs/>
                <w:szCs w:val="24"/>
                <w:highlight w:val="none"/>
              </w:rPr>
              <w:t>注：投标人需提供的业绩证明材料见投标人须知总 则第 3.5.5 项规定。提供的项目总工业绩证明资料应反映出本招标项目的项目总工在此业绩中担任过项目经理或项目总工</w:t>
            </w:r>
            <w:r>
              <w:rPr>
                <w:rFonts w:hint="eastAsia" w:ascii="Times New Roman" w:hAnsi="Times New Roman" w:eastAsia="宋体" w:cs="Times New Roman"/>
                <w:b/>
                <w:bCs/>
                <w:szCs w:val="24"/>
                <w:highlight w:val="none"/>
                <w:lang w:val="en-US" w:eastAsia="zh-CN"/>
              </w:rPr>
              <w:t>的</w:t>
            </w:r>
            <w:r>
              <w:rPr>
                <w:rFonts w:hint="eastAsia" w:ascii="Times New Roman" w:hAnsi="Times New Roman" w:eastAsia="宋体" w:cs="Times New Roman"/>
                <w:b/>
                <w:bCs/>
                <w:szCs w:val="24"/>
                <w:highlight w:val="none"/>
              </w:rPr>
              <w:t>岗位。</w:t>
            </w:r>
            <w:r>
              <w:rPr>
                <w:rFonts w:hint="eastAsia" w:ascii="Times New Roman" w:hAnsi="Times New Roman" w:eastAsia="宋体" w:cs="Times New Roman"/>
                <w:szCs w:val="24"/>
                <w:highlight w:val="none"/>
              </w:rPr>
              <w:t xml:space="preserve"> </w:t>
            </w:r>
          </w:p>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2、拟派项目总工具备公路工程相关专业（路桥、 公路工程、公路桥梁、交通土建、交通运输等专业）</w:t>
            </w:r>
            <w:r>
              <w:rPr>
                <w:rFonts w:hint="eastAsia" w:cs="Times New Roman"/>
                <w:szCs w:val="24"/>
                <w:highlight w:val="none"/>
                <w:lang w:val="en-US" w:eastAsia="zh-CN"/>
              </w:rPr>
              <w:t>中</w:t>
            </w:r>
            <w:r>
              <w:rPr>
                <w:rFonts w:hint="eastAsia" w:ascii="Times New Roman" w:hAnsi="Times New Roman" w:eastAsia="宋体" w:cs="Times New Roman"/>
                <w:szCs w:val="24"/>
                <w:highlight w:val="none"/>
              </w:rPr>
              <w:t>级及以上职称得10分，本项最高可得10分。</w:t>
            </w:r>
          </w:p>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b/>
                <w:bCs/>
                <w:szCs w:val="24"/>
                <w:highlight w:val="none"/>
              </w:rPr>
              <w:t>注：提供职称证书。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noWrap w:val="0"/>
            <w:vAlign w:val="center"/>
          </w:tcPr>
          <w:p>
            <w:pPr>
              <w:spacing w:line="360" w:lineRule="auto"/>
              <w:jc w:val="center"/>
              <w:rPr>
                <w:rFonts w:ascii="Times New Roman" w:hAnsi="Times New Roman" w:eastAsia="宋体" w:cs="Times New Roman"/>
                <w:szCs w:val="24"/>
              </w:rPr>
            </w:pPr>
          </w:p>
        </w:tc>
        <w:tc>
          <w:tcPr>
            <w:tcW w:w="440" w:type="pct"/>
            <w:noWrap w:val="0"/>
            <w:vAlign w:val="center"/>
          </w:tcPr>
          <w:p>
            <w:pPr>
              <w:spacing w:line="360" w:lineRule="auto"/>
              <w:ind w:left="0" w:leftChars="0" w:firstLine="0" w:firstLineChars="0"/>
              <w:jc w:val="both"/>
              <w:rPr>
                <w:rFonts w:ascii="Times New Roman" w:hAnsi="Times New Roman" w:eastAsia="宋体" w:cs="Times New Roman"/>
                <w:szCs w:val="24"/>
              </w:rPr>
            </w:pPr>
            <w:r>
              <w:rPr>
                <w:rFonts w:ascii="Times New Roman" w:hAnsi="Times New Roman" w:eastAsia="宋体" w:cs="Times New Roman"/>
                <w:szCs w:val="24"/>
              </w:rPr>
              <w:t>技术能力</w:t>
            </w:r>
          </w:p>
        </w:tc>
        <w:tc>
          <w:tcPr>
            <w:tcW w:w="368" w:type="pct"/>
            <w:noWrap w:val="0"/>
            <w:vAlign w:val="center"/>
          </w:tcPr>
          <w:p>
            <w:pPr>
              <w:spacing w:line="360" w:lineRule="auto"/>
              <w:ind w:left="0" w:leftChars="0" w:firstLine="0" w:firstLineChars="0"/>
              <w:jc w:val="both"/>
              <w:rPr>
                <w:rFonts w:ascii="Times New Roman" w:hAnsi="Times New Roman" w:eastAsia="宋体" w:cs="Times New Roman"/>
                <w:szCs w:val="24"/>
              </w:rPr>
            </w:pPr>
            <w:r>
              <w:rPr>
                <w:rFonts w:hint="eastAsia" w:ascii="Times New Roman" w:hAnsi="Times New Roman" w:eastAsia="宋体" w:cs="Times New Roman"/>
                <w:szCs w:val="24"/>
                <w:lang w:val="en-US" w:eastAsia="zh-CN"/>
              </w:rPr>
              <w:t>1</w:t>
            </w:r>
            <w:r>
              <w:rPr>
                <w:rFonts w:hint="eastAsia" w:ascii="Times New Roman" w:hAnsi="Times New Roman" w:eastAsia="宋体" w:cs="Times New Roman"/>
                <w:szCs w:val="24"/>
              </w:rPr>
              <w:t>0</w:t>
            </w:r>
            <w:r>
              <w:rPr>
                <w:rFonts w:ascii="Times New Roman" w:hAnsi="Times New Roman" w:eastAsia="宋体" w:cs="Times New Roman"/>
                <w:szCs w:val="24"/>
              </w:rPr>
              <w:t>分</w:t>
            </w:r>
          </w:p>
        </w:tc>
        <w:tc>
          <w:tcPr>
            <w:tcW w:w="734"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投标人奖项、荣誉</w:t>
            </w:r>
          </w:p>
        </w:tc>
        <w:tc>
          <w:tcPr>
            <w:tcW w:w="369"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lang w:val="en-US" w:eastAsia="zh-CN"/>
              </w:rPr>
              <w:t>10分</w:t>
            </w:r>
          </w:p>
        </w:tc>
        <w:tc>
          <w:tcPr>
            <w:tcW w:w="2593"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自20</w:t>
            </w:r>
            <w:r>
              <w:rPr>
                <w:rFonts w:hint="eastAsia" w:ascii="Times New Roman" w:hAnsi="Times New Roman" w:eastAsia="宋体" w:cs="Times New Roman"/>
                <w:szCs w:val="24"/>
                <w:highlight w:val="none"/>
                <w:lang w:val="en-US" w:eastAsia="zh-CN"/>
              </w:rPr>
              <w:t>20</w:t>
            </w:r>
            <w:r>
              <w:rPr>
                <w:rFonts w:hint="eastAsia" w:ascii="Times New Roman" w:hAnsi="Times New Roman" w:eastAsia="宋体" w:cs="Times New Roman"/>
                <w:szCs w:val="24"/>
                <w:highlight w:val="none"/>
              </w:rPr>
              <w:t>年1月1日以来（以颁奖时间为准），投标人承揽的公路工程</w:t>
            </w:r>
            <w:r>
              <w:rPr>
                <w:rFonts w:hint="eastAsia" w:ascii="Times New Roman" w:hAnsi="Times New Roman" w:eastAsia="宋体" w:cs="Times New Roman"/>
                <w:szCs w:val="24"/>
                <w:highlight w:val="none"/>
                <w:lang w:val="en-US" w:eastAsia="zh-CN"/>
              </w:rPr>
              <w:t>施工</w:t>
            </w:r>
            <w:r>
              <w:rPr>
                <w:rFonts w:hint="eastAsia" w:ascii="Times New Roman" w:hAnsi="Times New Roman" w:eastAsia="宋体" w:cs="Times New Roman"/>
                <w:szCs w:val="24"/>
                <w:highlight w:val="none"/>
              </w:rPr>
              <w:t>项目获得过行政主管部门或在国内依法登记注册的行业协（学）会颁发的市级（设区）及以上奖项的得10分，最多得10分。</w:t>
            </w:r>
          </w:p>
          <w:p>
            <w:pPr>
              <w:spacing w:before="125"/>
              <w:ind w:left="0" w:leftChars="0" w:firstLine="0" w:firstLineChars="0"/>
              <w:jc w:val="left"/>
              <w:rPr>
                <w:rFonts w:hint="eastAsia" w:ascii="Times New Roman" w:hAnsi="Times New Roman" w:eastAsia="宋体" w:cs="Times New Roman"/>
                <w:b/>
                <w:bCs/>
                <w:szCs w:val="24"/>
                <w:highlight w:val="none"/>
              </w:rPr>
            </w:pPr>
            <w:r>
              <w:rPr>
                <w:rFonts w:hint="eastAsia" w:ascii="Times New Roman" w:hAnsi="Times New Roman" w:eastAsia="宋体" w:cs="Times New Roman"/>
                <w:b/>
                <w:bCs/>
                <w:szCs w:val="24"/>
                <w:highlight w:val="none"/>
              </w:rPr>
              <w:t>注：①奖项、荣誉应提供颁奖单位的颁奖文件（颁奖文件不含荣誉证书、奖杯、奖牌、奖状）或颁奖单位官网文件的截图；</w:t>
            </w:r>
          </w:p>
          <w:p>
            <w:pPr>
              <w:spacing w:before="125"/>
              <w:ind w:left="0" w:leftChars="0" w:firstLine="0" w:firstLineChars="0"/>
              <w:jc w:val="left"/>
              <w:rPr>
                <w:rFonts w:hint="eastAsia" w:ascii="Times New Roman" w:hAnsi="Times New Roman" w:eastAsia="宋体" w:cs="Times New Roman"/>
                <w:b/>
                <w:bCs/>
                <w:szCs w:val="24"/>
                <w:highlight w:val="none"/>
              </w:rPr>
            </w:pPr>
            <w:r>
              <w:rPr>
                <w:rFonts w:hint="eastAsia" w:ascii="Times New Roman" w:hAnsi="Times New Roman" w:eastAsia="宋体" w:cs="Times New Roman"/>
                <w:b/>
                <w:bCs/>
                <w:szCs w:val="24"/>
                <w:highlight w:val="none"/>
              </w:rPr>
              <w:t>②国内依法登记注册”以中国社会组织政务服务平台中“全国社会组织信用信息公示平台”查询结果为准。投标文件中须提供该协会在中国社会组织政务服务平台中“全国社会组织信用信息公示平台”查询结果截图。</w:t>
            </w:r>
          </w:p>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b/>
                <w:bCs/>
                <w:szCs w:val="24"/>
                <w:highlight w:val="none"/>
              </w:rPr>
              <w:t>③民政部公布的“离岸社团”、“山寨社团”或中国社会组织政务服务平台中“全国社会组织信用信息公示平台”公示的 “涉嫌非法社会组织”颁发的荣誉、奖励均无效”。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493" w:type="pct"/>
            <w:vMerge w:val="continue"/>
            <w:noWrap w:val="0"/>
            <w:vAlign w:val="center"/>
          </w:tcPr>
          <w:p>
            <w:pPr>
              <w:spacing w:line="360" w:lineRule="auto"/>
              <w:jc w:val="center"/>
              <w:rPr>
                <w:rFonts w:ascii="Times New Roman" w:hAnsi="Times New Roman" w:eastAsia="宋体" w:cs="Times New Roman"/>
                <w:szCs w:val="24"/>
              </w:rPr>
            </w:pPr>
          </w:p>
        </w:tc>
        <w:tc>
          <w:tcPr>
            <w:tcW w:w="440" w:type="pct"/>
            <w:noWrap w:val="0"/>
            <w:vAlign w:val="center"/>
          </w:tcPr>
          <w:p>
            <w:pPr>
              <w:spacing w:line="360" w:lineRule="auto"/>
              <w:ind w:left="0" w:leftChars="0" w:firstLine="0" w:firstLineChars="0"/>
              <w:jc w:val="both"/>
              <w:rPr>
                <w:rFonts w:ascii="Times New Roman" w:hAnsi="Times New Roman" w:eastAsia="宋体" w:cs="Times New Roman"/>
                <w:szCs w:val="24"/>
              </w:rPr>
            </w:pPr>
            <w:r>
              <w:rPr>
                <w:rFonts w:ascii="Times New Roman" w:hAnsi="Times New Roman" w:eastAsia="宋体" w:cs="Times New Roman"/>
                <w:szCs w:val="24"/>
              </w:rPr>
              <w:t>业绩</w:t>
            </w:r>
          </w:p>
        </w:tc>
        <w:tc>
          <w:tcPr>
            <w:tcW w:w="368" w:type="pct"/>
            <w:noWrap w:val="0"/>
            <w:vAlign w:val="center"/>
          </w:tcPr>
          <w:p>
            <w:pPr>
              <w:spacing w:line="360" w:lineRule="auto"/>
              <w:ind w:left="0" w:leftChars="0" w:firstLine="0" w:firstLineChars="0"/>
              <w:jc w:val="both"/>
              <w:rPr>
                <w:rFonts w:ascii="Times New Roman" w:hAnsi="Times New Roman" w:eastAsia="宋体" w:cs="Times New Roman"/>
                <w:szCs w:val="24"/>
              </w:rPr>
            </w:pPr>
            <w:r>
              <w:rPr>
                <w:rFonts w:hint="eastAsia" w:ascii="Times New Roman" w:hAnsi="Times New Roman" w:eastAsia="宋体" w:cs="Times New Roman"/>
                <w:szCs w:val="24"/>
              </w:rPr>
              <w:t>10</w:t>
            </w:r>
            <w:r>
              <w:rPr>
                <w:rFonts w:ascii="Times New Roman" w:hAnsi="Times New Roman" w:eastAsia="宋体" w:cs="Times New Roman"/>
                <w:szCs w:val="24"/>
              </w:rPr>
              <w:t>分</w:t>
            </w:r>
          </w:p>
        </w:tc>
        <w:tc>
          <w:tcPr>
            <w:tcW w:w="734"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投标人业绩</w:t>
            </w:r>
          </w:p>
        </w:tc>
        <w:tc>
          <w:tcPr>
            <w:tcW w:w="369"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10分</w:t>
            </w:r>
          </w:p>
        </w:tc>
        <w:tc>
          <w:tcPr>
            <w:tcW w:w="2593" w:type="pct"/>
            <w:noWrap w:val="0"/>
            <w:vAlign w:val="center"/>
          </w:tcPr>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自20</w:t>
            </w:r>
            <w:r>
              <w:rPr>
                <w:rFonts w:hint="eastAsia" w:ascii="Times New Roman" w:hAnsi="Times New Roman" w:eastAsia="宋体" w:cs="Times New Roman"/>
                <w:szCs w:val="24"/>
                <w:highlight w:val="none"/>
                <w:lang w:val="en-US" w:eastAsia="zh-CN"/>
              </w:rPr>
              <w:t>20</w:t>
            </w:r>
            <w:r>
              <w:rPr>
                <w:rFonts w:hint="eastAsia" w:ascii="Times New Roman" w:hAnsi="Times New Roman" w:eastAsia="宋体" w:cs="Times New Roman"/>
                <w:szCs w:val="24"/>
                <w:highlight w:val="none"/>
              </w:rPr>
              <w:t>年1月1日以来（以交工或竣工时间为准），投标人在中华人民共和国境内具备单个合同金额不低于</w:t>
            </w:r>
            <w:r>
              <w:rPr>
                <w:rFonts w:hint="eastAsia" w:ascii="Times New Roman" w:hAnsi="Times New Roman" w:eastAsia="宋体" w:cs="Times New Roman"/>
                <w:szCs w:val="24"/>
                <w:highlight w:val="none"/>
                <w:lang w:val="en-US" w:eastAsia="zh-CN"/>
              </w:rPr>
              <w:t>700</w:t>
            </w:r>
            <w:r>
              <w:rPr>
                <w:rFonts w:hint="eastAsia" w:ascii="Times New Roman" w:hAnsi="Times New Roman" w:eastAsia="宋体" w:cs="Times New Roman"/>
                <w:szCs w:val="24"/>
                <w:highlight w:val="none"/>
              </w:rPr>
              <w:t>万元的公路工程施工业绩，每提供一个得5分，满分10分。</w:t>
            </w:r>
          </w:p>
          <w:p>
            <w:pPr>
              <w:spacing w:before="125"/>
              <w:ind w:left="0" w:leftChars="0" w:firstLine="0" w:firstLineChars="0"/>
              <w:jc w:val="left"/>
              <w:rPr>
                <w:rFonts w:hint="eastAsia" w:ascii="Times New Roman" w:hAnsi="Times New Roman" w:eastAsia="宋体" w:cs="Times New Roman"/>
                <w:szCs w:val="24"/>
                <w:highlight w:val="none"/>
              </w:rPr>
            </w:pPr>
            <w:r>
              <w:rPr>
                <w:rFonts w:hint="eastAsia" w:ascii="Times New Roman" w:hAnsi="Times New Roman" w:eastAsia="宋体" w:cs="Times New Roman"/>
                <w:b/>
                <w:bCs/>
                <w:szCs w:val="24"/>
                <w:highlight w:val="none"/>
              </w:rPr>
              <w:t>注:投标人需提供的业绩证明材料见投标人须知总则第3.5.3项规定。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000" w:type="pct"/>
            <w:gridSpan w:val="6"/>
            <w:noWrap w:val="0"/>
            <w:vAlign w:val="center"/>
          </w:tcPr>
          <w:p>
            <w:pPr>
              <w:spacing w:line="360" w:lineRule="auto"/>
              <w:ind w:left="0" w:leftChars="0" w:firstLine="0" w:firstLineChars="0"/>
              <w:rPr>
                <w:rFonts w:ascii="Times New Roman" w:hAnsi="Times New Roman" w:eastAsia="宋体" w:cs="Times New Roman"/>
                <w:b/>
                <w:bCs/>
                <w:szCs w:val="24"/>
              </w:rPr>
            </w:pPr>
            <w:r>
              <w:rPr>
                <w:rFonts w:ascii="Times New Roman" w:hAnsi="Times New Roman" w:eastAsia="宋体" w:cs="Times New Roman"/>
                <w:b/>
                <w:bCs/>
                <w:szCs w:val="24"/>
              </w:rPr>
              <w:t>需要补充的其他内容：</w:t>
            </w:r>
          </w:p>
          <w:p>
            <w:pPr>
              <w:widowControl/>
              <w:spacing w:line="360" w:lineRule="auto"/>
              <w:ind w:left="0" w:leftChars="0" w:firstLine="0" w:firstLineChars="0"/>
              <w:jc w:val="left"/>
              <w:rPr>
                <w:rFonts w:ascii="Times New Roman" w:hAnsi="Times New Roman" w:eastAsia="宋体" w:cs="Times New Roman"/>
                <w:szCs w:val="24"/>
              </w:rPr>
            </w:pPr>
            <w:r>
              <w:rPr>
                <w:rFonts w:hint="eastAsia" w:ascii="Times New Roman" w:hAnsi="Times New Roman" w:eastAsia="宋体" w:cs="宋体"/>
                <w:bCs/>
                <w:snapToGrid w:val="0"/>
                <w:szCs w:val="24"/>
              </w:rPr>
              <w:t>对于技术文件评分项，以0.1分为分割点，即评分依次为0、0.1、0.2、0.3、0.4等。评审内容缺项的该项得0分。</w:t>
            </w:r>
          </w:p>
        </w:tc>
      </w:tr>
    </w:tbl>
    <w:p>
      <w:pPr>
        <w:spacing w:line="360" w:lineRule="auto"/>
        <w:ind w:left="0" w:leftChars="0" w:firstLine="0" w:firstLineChars="0"/>
        <w:rPr>
          <w:sz w:val="24"/>
        </w:rPr>
      </w:pPr>
    </w:p>
    <w:p>
      <w:pPr>
        <w:spacing w:line="360" w:lineRule="auto"/>
        <w:ind w:firstLine="482"/>
        <w:rPr>
          <w:b/>
          <w:bCs/>
          <w:sz w:val="24"/>
        </w:rPr>
      </w:pPr>
      <w:r>
        <w:rPr>
          <w:b/>
          <w:bCs/>
          <w:sz w:val="24"/>
        </w:rPr>
        <w:br w:type="page"/>
      </w:r>
    </w:p>
    <w:p>
      <w:pPr>
        <w:keepNext/>
        <w:keepLines/>
        <w:spacing w:beforeLines="100" w:afterLines="100"/>
        <w:ind w:firstLine="0" w:firstLineChars="0"/>
        <w:jc w:val="center"/>
        <w:outlineLvl w:val="2"/>
        <w:rPr>
          <w:rFonts w:eastAsia="黑体"/>
          <w:sz w:val="24"/>
          <w:szCs w:val="32"/>
        </w:rPr>
      </w:pPr>
      <w:bookmarkStart w:id="428" w:name="_Toc17191"/>
      <w:bookmarkStart w:id="429" w:name="_Toc19041"/>
      <w:bookmarkStart w:id="430" w:name="_Toc7587"/>
      <w:bookmarkStart w:id="431" w:name="_Toc138689409"/>
      <w:bookmarkStart w:id="432" w:name="_Toc9628"/>
      <w:r>
        <w:rPr>
          <w:rFonts w:eastAsia="黑体"/>
          <w:sz w:val="24"/>
          <w:szCs w:val="32"/>
        </w:rPr>
        <w:t>附件1：</w:t>
      </w:r>
      <w:bookmarkEnd w:id="428"/>
      <w:bookmarkEnd w:id="429"/>
      <w:bookmarkEnd w:id="430"/>
      <w:r>
        <w:rPr>
          <w:rFonts w:eastAsia="黑体"/>
          <w:bCs/>
          <w:sz w:val="24"/>
          <w:szCs w:val="32"/>
        </w:rPr>
        <w:t>技术文件详细评审得分计算规则</w:t>
      </w:r>
      <w:bookmarkEnd w:id="431"/>
      <w:bookmarkEnd w:id="432"/>
    </w:p>
    <w:p>
      <w:pPr>
        <w:spacing w:line="360" w:lineRule="auto"/>
        <w:ind w:firstLine="482"/>
        <w:rPr>
          <w:b/>
          <w:bCs/>
          <w:sz w:val="24"/>
        </w:rPr>
      </w:pPr>
      <w:r>
        <w:rPr>
          <w:b/>
          <w:bCs/>
          <w:sz w:val="24"/>
        </w:rPr>
        <w:t>针对评标办法正文</w:t>
      </w:r>
      <w:r>
        <w:rPr>
          <w:rFonts w:hint="eastAsia" w:ascii="宋体" w:hAnsi="宋体" w:cs="宋体"/>
          <w:b/>
          <w:bCs/>
          <w:sz w:val="24"/>
        </w:rPr>
        <w:t>“</w:t>
      </w:r>
      <w:r>
        <w:rPr>
          <w:b/>
          <w:bCs/>
          <w:sz w:val="24"/>
        </w:rPr>
        <w:t>3.2商务文件、技术文件详细评审</w:t>
      </w:r>
      <w:r>
        <w:rPr>
          <w:rFonts w:hint="eastAsia" w:ascii="宋体" w:hAnsi="宋体" w:cs="宋体"/>
          <w:b/>
          <w:bCs/>
          <w:sz w:val="24"/>
        </w:rPr>
        <w:t>”中“技术文件详细评审得分计算”规则，具体如下，计算保留小数点后两位，小数点后第三位“四舍五入”</w:t>
      </w:r>
      <w:r>
        <w:rPr>
          <w:rFonts w:hint="eastAsia"/>
          <w:b/>
          <w:bCs/>
          <w:sz w:val="24"/>
        </w:rPr>
        <w:t>：</w:t>
      </w:r>
    </w:p>
    <w:p>
      <w:pPr>
        <w:spacing w:line="360" w:lineRule="auto"/>
        <w:ind w:firstLine="480"/>
        <w:rPr>
          <w:sz w:val="24"/>
        </w:rPr>
      </w:pPr>
      <w:r>
        <w:rPr>
          <w:sz w:val="24"/>
        </w:rPr>
        <w:t>技术文件详细评审得分计算如下：</w:t>
      </w:r>
    </w:p>
    <w:p>
      <w:pPr>
        <w:spacing w:line="360" w:lineRule="auto"/>
        <w:ind w:firstLine="480"/>
        <w:rPr>
          <w:sz w:val="24"/>
        </w:rPr>
      </w:pPr>
      <w:r>
        <w:rPr>
          <w:rFonts w:hint="eastAsia" w:ascii="宋体" w:hAnsi="宋体" w:cs="宋体"/>
          <w:sz w:val="24"/>
        </w:rPr>
        <w:t>①</w:t>
      </w:r>
      <w:r>
        <w:rPr>
          <w:sz w:val="24"/>
        </w:rPr>
        <w:t>首先，根据评委技术文件详细评审打分汇</w:t>
      </w:r>
      <w:r>
        <w:rPr>
          <w:rFonts w:hint="eastAsia" w:ascii="宋体" w:hAnsi="宋体" w:cs="宋体"/>
          <w:sz w:val="24"/>
        </w:rPr>
        <w:t>总（以下简称“技术打分”）</w:t>
      </w:r>
      <w:r>
        <w:rPr>
          <w:sz w:val="24"/>
        </w:rPr>
        <w:t>，计算偏差率</w:t>
      </w:r>
      <w:r>
        <w:rPr>
          <w:rFonts w:hint="eastAsia"/>
          <w:sz w:val="24"/>
        </w:rPr>
        <w:t>；</w:t>
      </w:r>
    </w:p>
    <w:p>
      <w:pPr>
        <w:spacing w:line="360" w:lineRule="auto"/>
        <w:ind w:firstLine="480"/>
        <w:rPr>
          <w:sz w:val="24"/>
        </w:rPr>
      </w:pPr>
      <w:r>
        <w:rPr>
          <w:sz w:val="24"/>
        </w:rPr>
        <w:t>根据评委对其评审的各投标人的技术打分进行排序，计算该评委最高与次高技术打分的纵向偏差率（该评委最高与次高技术打分的差值占该评委最高技术打分的百分比）；</w:t>
      </w:r>
    </w:p>
    <w:p>
      <w:pPr>
        <w:spacing w:line="360" w:lineRule="auto"/>
        <w:ind w:firstLine="480"/>
        <w:rPr>
          <w:sz w:val="24"/>
        </w:rPr>
      </w:pPr>
      <w:r>
        <w:rPr>
          <w:sz w:val="24"/>
        </w:rPr>
        <w:t>针对上述评委确定的最高技术打分的投标人，计算该投标人最高技术打分与其他评委对该投标人平均技术打分（技术打分的算术平均值）的横向偏差率（该投标人最高技术打分与其他评委对该投标人平均技术打分的差值占其他评委对该投标人平均技术打分的百分比；出现同一评委不同投标人的最高技术打分相同时，分别计算确定）；</w:t>
      </w:r>
    </w:p>
    <w:p>
      <w:pPr>
        <w:spacing w:line="360" w:lineRule="auto"/>
        <w:ind w:firstLine="480"/>
        <w:rPr>
          <w:sz w:val="24"/>
        </w:rPr>
      </w:pPr>
      <w:r>
        <w:rPr>
          <w:sz w:val="24"/>
        </w:rPr>
        <w:t>当纵向偏差率达到或超过20%，同时横向偏差率达到或超过15%时，该评委的技术打分不纳入投标人得分计算。当出现2名或以上评委技术打分同时出现上述情况时，纵向偏差率最大的评委技术打分不纳入投标人得分计算；如纵向偏差率最大的相同时，以横向偏差率最大的评委技术打分不纳入投标人得分计算；如横向偏差率最大的也相同时，则计算该情形评委最高与次次高技术打分的偏差率，该偏差率最大的评委技术打分不纳入投标人得分计算；若最终仍然无法判断的，由评标委员会随机确定1位该情形评委技术打分不纳入投标人得分计算。</w:t>
      </w:r>
    </w:p>
    <w:p>
      <w:pPr>
        <w:spacing w:line="360" w:lineRule="auto"/>
        <w:ind w:firstLine="480"/>
        <w:rPr>
          <w:sz w:val="24"/>
        </w:rPr>
      </w:pPr>
      <w:r>
        <w:rPr>
          <w:sz w:val="24"/>
        </w:rPr>
        <w:t>注：技术打分相同的，一并纳入同情形偏差率计算（见示例标示）。上述差值</w:t>
      </w:r>
      <w:r>
        <w:rPr>
          <w:rFonts w:hint="eastAsia"/>
          <w:sz w:val="24"/>
        </w:rPr>
        <w:t>按照</w:t>
      </w:r>
      <w:r>
        <w:rPr>
          <w:sz w:val="24"/>
        </w:rPr>
        <w:t>绝对值计算；</w:t>
      </w:r>
    </w:p>
    <w:p>
      <w:pPr>
        <w:spacing w:line="360" w:lineRule="auto"/>
        <w:ind w:firstLine="480"/>
        <w:rPr>
          <w:sz w:val="24"/>
        </w:rPr>
      </w:pPr>
      <w:r>
        <w:rPr>
          <w:sz w:val="24"/>
        </w:rPr>
        <w:br w:type="page"/>
      </w:r>
    </w:p>
    <w:p>
      <w:pPr>
        <w:spacing w:line="360" w:lineRule="auto"/>
        <w:ind w:firstLine="480"/>
        <w:rPr>
          <w:sz w:val="24"/>
        </w:rPr>
      </w:pPr>
      <w:r>
        <w:rPr>
          <w:sz w:val="24"/>
        </w:rPr>
        <w:t>示例：如某项目的投标人共6家，共有5位评委参与评审，评委进行技术打分分值见下表，现列举其中1位评委相关计算，具体如下：</w:t>
      </w:r>
    </w:p>
    <w:tbl>
      <w:tblPr>
        <w:tblStyle w:val="56"/>
        <w:tblW w:w="9399" w:type="dxa"/>
        <w:jc w:val="center"/>
        <w:tblLayout w:type="fixed"/>
        <w:tblCellMar>
          <w:top w:w="0" w:type="dxa"/>
          <w:left w:w="108" w:type="dxa"/>
          <w:bottom w:w="0" w:type="dxa"/>
          <w:right w:w="108" w:type="dxa"/>
        </w:tblCellMar>
      </w:tblPr>
      <w:tblGrid>
        <w:gridCol w:w="1542"/>
        <w:gridCol w:w="26"/>
        <w:gridCol w:w="1487"/>
        <w:gridCol w:w="1666"/>
        <w:gridCol w:w="1559"/>
        <w:gridCol w:w="1559"/>
        <w:gridCol w:w="1560"/>
      </w:tblGrid>
      <w:tr>
        <w:tblPrEx>
          <w:tblCellMar>
            <w:top w:w="0" w:type="dxa"/>
            <w:left w:w="108" w:type="dxa"/>
            <w:bottom w:w="0" w:type="dxa"/>
            <w:right w:w="108" w:type="dxa"/>
          </w:tblCellMar>
        </w:tblPrEx>
        <w:trPr>
          <w:trHeight w:val="60" w:hRule="atLeast"/>
          <w:jc w:val="center"/>
        </w:trPr>
        <w:tc>
          <w:tcPr>
            <w:tcW w:w="9399" w:type="dxa"/>
            <w:gridSpan w:val="7"/>
            <w:tcBorders>
              <w:top w:val="single" w:color="000000" w:sz="8" w:space="0"/>
              <w:left w:val="single" w:color="000000" w:sz="8" w:space="0"/>
              <w:bottom w:val="single" w:color="auto" w:sz="4" w:space="0"/>
              <w:right w:val="single" w:color="000000" w:sz="8" w:space="0"/>
            </w:tcBorders>
            <w:shd w:val="clear" w:color="auto" w:fill="BEBEBE"/>
            <w:noWrap/>
            <w:vAlign w:val="center"/>
          </w:tcPr>
          <w:p>
            <w:pPr>
              <w:widowControl/>
              <w:adjustRightInd w:val="0"/>
              <w:snapToGrid w:val="0"/>
              <w:spacing w:line="360" w:lineRule="auto"/>
              <w:ind w:firstLine="0" w:firstLineChars="0"/>
              <w:jc w:val="center"/>
              <w:textAlignment w:val="center"/>
              <w:rPr>
                <w:b/>
                <w:bCs/>
                <w:szCs w:val="21"/>
              </w:rPr>
            </w:pPr>
            <w:r>
              <w:rPr>
                <w:b/>
                <w:bCs/>
                <w:szCs w:val="21"/>
              </w:rPr>
              <w:t>技术打分分值</w:t>
            </w:r>
          </w:p>
        </w:tc>
      </w:tr>
      <w:tr>
        <w:tblPrEx>
          <w:tblCellMar>
            <w:top w:w="0" w:type="dxa"/>
            <w:left w:w="108" w:type="dxa"/>
            <w:bottom w:w="0" w:type="dxa"/>
            <w:right w:w="108" w:type="dxa"/>
          </w:tblCellMar>
        </w:tblPrEx>
        <w:trPr>
          <w:trHeight w:val="387" w:hRule="atLeast"/>
          <w:jc w:val="center"/>
        </w:trPr>
        <w:tc>
          <w:tcPr>
            <w:tcW w:w="1568" w:type="dxa"/>
            <w:gridSpan w:val="2"/>
            <w:tcBorders>
              <w:top w:val="single" w:color="000000" w:sz="8" w:space="0"/>
              <w:left w:val="single" w:color="000000" w:sz="8" w:space="0"/>
              <w:bottom w:val="single" w:color="auto" w:sz="4" w:space="0"/>
              <w:right w:val="single" w:color="000000" w:sz="8" w:space="0"/>
            </w:tcBorders>
            <w:noWrap/>
            <w:vAlign w:val="center"/>
          </w:tcPr>
          <w:p>
            <w:pPr>
              <w:widowControl/>
              <w:adjustRightInd w:val="0"/>
              <w:snapToGrid w:val="0"/>
              <w:spacing w:line="360" w:lineRule="auto"/>
              <w:ind w:firstLine="0" w:firstLineChars="0"/>
              <w:jc w:val="center"/>
              <w:textAlignment w:val="center"/>
              <w:rPr>
                <w:szCs w:val="21"/>
              </w:rPr>
            </w:pPr>
            <w:r>
              <w:rPr>
                <w:szCs w:val="21"/>
              </w:rPr>
              <w:t>评委名称</w:t>
            </w:r>
          </w:p>
        </w:tc>
        <w:tc>
          <w:tcPr>
            <w:tcW w:w="1487" w:type="dxa"/>
            <w:tcBorders>
              <w:top w:val="single" w:color="000000" w:sz="8" w:space="0"/>
              <w:left w:val="nil"/>
              <w:bottom w:val="single" w:color="auto" w:sz="4" w:space="0"/>
              <w:right w:val="single" w:color="000000" w:sz="8" w:space="0"/>
            </w:tcBorders>
            <w:noWrap/>
            <w:vAlign w:val="center"/>
          </w:tcPr>
          <w:p>
            <w:pPr>
              <w:widowControl/>
              <w:adjustRightInd w:val="0"/>
              <w:snapToGrid w:val="0"/>
              <w:spacing w:line="360" w:lineRule="auto"/>
              <w:ind w:firstLine="0" w:firstLineChars="0"/>
              <w:jc w:val="center"/>
              <w:textAlignment w:val="center"/>
              <w:rPr>
                <w:szCs w:val="21"/>
              </w:rPr>
            </w:pPr>
            <w:r>
              <w:rPr>
                <w:szCs w:val="21"/>
              </w:rPr>
              <w:t>评委1</w:t>
            </w:r>
          </w:p>
        </w:tc>
        <w:tc>
          <w:tcPr>
            <w:tcW w:w="1666" w:type="dxa"/>
            <w:tcBorders>
              <w:top w:val="single" w:color="000000" w:sz="8" w:space="0"/>
              <w:left w:val="nil"/>
              <w:bottom w:val="single" w:color="auto" w:sz="4" w:space="0"/>
              <w:right w:val="single" w:color="000000" w:sz="8" w:space="0"/>
            </w:tcBorders>
            <w:noWrap/>
            <w:vAlign w:val="center"/>
          </w:tcPr>
          <w:p>
            <w:pPr>
              <w:widowControl/>
              <w:adjustRightInd w:val="0"/>
              <w:snapToGrid w:val="0"/>
              <w:spacing w:line="360" w:lineRule="auto"/>
              <w:ind w:firstLine="0" w:firstLineChars="0"/>
              <w:jc w:val="center"/>
              <w:textAlignment w:val="center"/>
              <w:rPr>
                <w:szCs w:val="21"/>
              </w:rPr>
            </w:pPr>
            <w:r>
              <w:rPr>
                <w:szCs w:val="21"/>
              </w:rPr>
              <w:t>评委2</w:t>
            </w:r>
          </w:p>
        </w:tc>
        <w:tc>
          <w:tcPr>
            <w:tcW w:w="1559" w:type="dxa"/>
            <w:tcBorders>
              <w:top w:val="single" w:color="000000" w:sz="8" w:space="0"/>
              <w:left w:val="nil"/>
              <w:bottom w:val="single" w:color="auto" w:sz="4" w:space="0"/>
              <w:right w:val="single" w:color="000000" w:sz="8" w:space="0"/>
            </w:tcBorders>
            <w:noWrap/>
            <w:vAlign w:val="center"/>
          </w:tcPr>
          <w:p>
            <w:pPr>
              <w:widowControl/>
              <w:adjustRightInd w:val="0"/>
              <w:snapToGrid w:val="0"/>
              <w:spacing w:line="360" w:lineRule="auto"/>
              <w:ind w:firstLine="0" w:firstLineChars="0"/>
              <w:jc w:val="center"/>
              <w:textAlignment w:val="center"/>
              <w:rPr>
                <w:szCs w:val="21"/>
              </w:rPr>
            </w:pPr>
            <w:r>
              <w:rPr>
                <w:szCs w:val="21"/>
              </w:rPr>
              <w:t>评委3</w:t>
            </w:r>
          </w:p>
        </w:tc>
        <w:tc>
          <w:tcPr>
            <w:tcW w:w="1559" w:type="dxa"/>
            <w:tcBorders>
              <w:top w:val="single" w:color="000000" w:sz="8" w:space="0"/>
              <w:left w:val="nil"/>
              <w:bottom w:val="single" w:color="auto" w:sz="4" w:space="0"/>
              <w:right w:val="single" w:color="000000" w:sz="8" w:space="0"/>
            </w:tcBorders>
            <w:noWrap/>
            <w:vAlign w:val="center"/>
          </w:tcPr>
          <w:p>
            <w:pPr>
              <w:widowControl/>
              <w:adjustRightInd w:val="0"/>
              <w:snapToGrid w:val="0"/>
              <w:spacing w:line="360" w:lineRule="auto"/>
              <w:ind w:firstLine="0" w:firstLineChars="0"/>
              <w:jc w:val="center"/>
              <w:textAlignment w:val="center"/>
              <w:rPr>
                <w:szCs w:val="21"/>
              </w:rPr>
            </w:pPr>
            <w:r>
              <w:rPr>
                <w:szCs w:val="21"/>
              </w:rPr>
              <w:t>评委4</w:t>
            </w:r>
          </w:p>
        </w:tc>
        <w:tc>
          <w:tcPr>
            <w:tcW w:w="1560" w:type="dxa"/>
            <w:tcBorders>
              <w:top w:val="single" w:color="000000" w:sz="8" w:space="0"/>
              <w:left w:val="nil"/>
              <w:bottom w:val="single" w:color="auto" w:sz="4" w:space="0"/>
              <w:right w:val="single" w:color="000000" w:sz="8" w:space="0"/>
            </w:tcBorders>
            <w:noWrap/>
            <w:vAlign w:val="center"/>
          </w:tcPr>
          <w:p>
            <w:pPr>
              <w:widowControl/>
              <w:adjustRightInd w:val="0"/>
              <w:snapToGrid w:val="0"/>
              <w:spacing w:line="360" w:lineRule="auto"/>
              <w:ind w:firstLine="0" w:firstLineChars="0"/>
              <w:jc w:val="center"/>
              <w:textAlignment w:val="center"/>
              <w:rPr>
                <w:szCs w:val="21"/>
              </w:rPr>
            </w:pPr>
            <w:r>
              <w:rPr>
                <w:szCs w:val="21"/>
              </w:rPr>
              <w:t>评委5</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投标</w:t>
            </w:r>
            <w:r>
              <w:rPr>
                <w:rFonts w:hint="eastAsia"/>
                <w:szCs w:val="21"/>
              </w:rPr>
              <w:t>人</w:t>
            </w:r>
            <w:r>
              <w:rPr>
                <w:szCs w:val="21"/>
              </w:rPr>
              <w:t>1</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28.0分</w:t>
            </w:r>
          </w:p>
          <w:p>
            <w:pPr>
              <w:widowControl/>
              <w:adjustRightInd w:val="0"/>
              <w:snapToGrid w:val="0"/>
              <w:spacing w:line="360" w:lineRule="auto"/>
              <w:ind w:firstLine="0" w:firstLineChars="0"/>
              <w:jc w:val="center"/>
              <w:textAlignment w:val="center"/>
              <w:rPr>
                <w:szCs w:val="21"/>
              </w:rPr>
            </w:pPr>
            <w:r>
              <w:rPr>
                <w:szCs w:val="21"/>
              </w:rPr>
              <w:t>（最高分）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30.0分</w:t>
            </w:r>
          </w:p>
          <w:p>
            <w:pPr>
              <w:widowControl/>
              <w:adjustRightInd w:val="0"/>
              <w:snapToGrid w:val="0"/>
              <w:spacing w:line="360" w:lineRule="auto"/>
              <w:ind w:firstLine="0" w:firstLineChars="0"/>
              <w:jc w:val="center"/>
              <w:textAlignment w:val="center"/>
              <w:rPr>
                <w:szCs w:val="21"/>
              </w:rPr>
            </w:pPr>
            <w:r>
              <w:rPr>
                <w:szCs w:val="21"/>
              </w:rPr>
              <w:t>（最高分）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22.0分</w:t>
            </w:r>
          </w:p>
          <w:p>
            <w:pPr>
              <w:widowControl/>
              <w:adjustRightInd w:val="0"/>
              <w:snapToGrid w:val="0"/>
              <w:spacing w:line="360" w:lineRule="auto"/>
              <w:ind w:firstLine="0" w:firstLineChars="0"/>
              <w:jc w:val="center"/>
              <w:textAlignment w:val="center"/>
              <w:rPr>
                <w:szCs w:val="21"/>
              </w:rPr>
            </w:pPr>
            <w:r>
              <w:rPr>
                <w:szCs w:val="21"/>
              </w:rPr>
              <w:t>（最低分）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25.0分</w:t>
            </w:r>
          </w:p>
          <w:p>
            <w:pPr>
              <w:widowControl/>
              <w:adjustRightInd w:val="0"/>
              <w:snapToGrid w:val="0"/>
              <w:spacing w:line="360" w:lineRule="auto"/>
              <w:ind w:firstLine="0" w:firstLineChars="0"/>
              <w:jc w:val="center"/>
              <w:textAlignment w:val="center"/>
              <w:rPr>
                <w:szCs w:val="21"/>
              </w:rPr>
            </w:pPr>
            <w:r>
              <w:rPr>
                <w:szCs w:val="21"/>
              </w:rPr>
              <w:t>（最高分）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20.0分</w:t>
            </w:r>
          </w:p>
          <w:p>
            <w:pPr>
              <w:widowControl/>
              <w:adjustRightInd w:val="0"/>
              <w:snapToGrid w:val="0"/>
              <w:spacing w:line="360" w:lineRule="auto"/>
              <w:ind w:firstLine="0" w:firstLineChars="0"/>
              <w:jc w:val="center"/>
              <w:textAlignment w:val="center"/>
              <w:rPr>
                <w:szCs w:val="21"/>
              </w:rPr>
            </w:pPr>
            <w:r>
              <w:rPr>
                <w:szCs w:val="21"/>
              </w:rPr>
              <w:t>（最低分）</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投标</w:t>
            </w:r>
            <w:r>
              <w:rPr>
                <w:rFonts w:hint="eastAsia"/>
                <w:szCs w:val="21"/>
              </w:rPr>
              <w:t>人</w:t>
            </w:r>
            <w:r>
              <w:rPr>
                <w:szCs w:val="21"/>
              </w:rPr>
              <w:t>2</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28.0分</w:t>
            </w:r>
          </w:p>
          <w:p>
            <w:pPr>
              <w:widowControl/>
              <w:adjustRightInd w:val="0"/>
              <w:snapToGrid w:val="0"/>
              <w:spacing w:line="360" w:lineRule="auto"/>
              <w:ind w:firstLine="0" w:firstLineChars="0"/>
              <w:jc w:val="center"/>
              <w:textAlignment w:val="center"/>
              <w:rPr>
                <w:szCs w:val="21"/>
              </w:rPr>
            </w:pPr>
            <w:r>
              <w:rPr>
                <w:szCs w:val="21"/>
              </w:rPr>
              <w:t>（最高分）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28.0分</w:t>
            </w:r>
          </w:p>
          <w:p>
            <w:pPr>
              <w:widowControl/>
              <w:adjustRightInd w:val="0"/>
              <w:snapToGrid w:val="0"/>
              <w:spacing w:line="360" w:lineRule="auto"/>
              <w:ind w:firstLine="0" w:firstLineChars="0"/>
              <w:jc w:val="center"/>
              <w:textAlignment w:val="center"/>
              <w:rPr>
                <w:szCs w:val="21"/>
              </w:rPr>
            </w:pPr>
            <w:r>
              <w:rPr>
                <w:szCs w:val="21"/>
              </w:rPr>
              <w:t>（次高分）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28.0分</w:t>
            </w:r>
          </w:p>
          <w:p>
            <w:pPr>
              <w:widowControl/>
              <w:adjustRightInd w:val="0"/>
              <w:snapToGrid w:val="0"/>
              <w:spacing w:line="360" w:lineRule="auto"/>
              <w:ind w:firstLine="0" w:firstLineChars="0"/>
              <w:jc w:val="center"/>
              <w:textAlignment w:val="center"/>
              <w:rPr>
                <w:szCs w:val="21"/>
              </w:rPr>
            </w:pPr>
            <w:r>
              <w:rPr>
                <w:szCs w:val="21"/>
              </w:rPr>
              <w:t>（最高分）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24.0分</w:t>
            </w:r>
          </w:p>
          <w:p>
            <w:pPr>
              <w:widowControl/>
              <w:adjustRightInd w:val="0"/>
              <w:snapToGrid w:val="0"/>
              <w:spacing w:line="360" w:lineRule="auto"/>
              <w:ind w:firstLine="0" w:firstLineChars="0"/>
              <w:jc w:val="center"/>
              <w:textAlignment w:val="center"/>
              <w:rPr>
                <w:szCs w:val="21"/>
              </w:rPr>
            </w:pPr>
            <w:r>
              <w:rPr>
                <w:szCs w:val="21"/>
              </w:rPr>
              <w:t>（次高分）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22.0分</w:t>
            </w:r>
          </w:p>
          <w:p>
            <w:pPr>
              <w:widowControl/>
              <w:adjustRightInd w:val="0"/>
              <w:snapToGrid w:val="0"/>
              <w:spacing w:line="360" w:lineRule="auto"/>
              <w:ind w:firstLine="0" w:firstLineChars="0"/>
              <w:jc w:val="center"/>
              <w:textAlignment w:val="center"/>
              <w:rPr>
                <w:szCs w:val="21"/>
              </w:rPr>
            </w:pPr>
            <w:r>
              <w:rPr>
                <w:szCs w:val="21"/>
              </w:rPr>
              <w:t>（次次高分）</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投标</w:t>
            </w:r>
            <w:r>
              <w:rPr>
                <w:rFonts w:hint="eastAsia"/>
                <w:szCs w:val="21"/>
              </w:rPr>
              <w:t>人</w:t>
            </w:r>
            <w:r>
              <w:rPr>
                <w:szCs w:val="21"/>
              </w:rPr>
              <w:t>3</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26.0分</w:t>
            </w:r>
          </w:p>
          <w:p>
            <w:pPr>
              <w:widowControl/>
              <w:adjustRightInd w:val="0"/>
              <w:snapToGrid w:val="0"/>
              <w:spacing w:line="360" w:lineRule="auto"/>
              <w:ind w:firstLine="0" w:firstLineChars="0"/>
              <w:jc w:val="center"/>
              <w:textAlignment w:val="center"/>
              <w:rPr>
                <w:szCs w:val="21"/>
              </w:rPr>
            </w:pPr>
            <w:r>
              <w:rPr>
                <w:szCs w:val="21"/>
              </w:rPr>
              <w:t>（次高分）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28.0分</w:t>
            </w:r>
          </w:p>
          <w:p>
            <w:pPr>
              <w:widowControl/>
              <w:adjustRightInd w:val="0"/>
              <w:snapToGrid w:val="0"/>
              <w:spacing w:line="360" w:lineRule="auto"/>
              <w:ind w:firstLine="0" w:firstLineChars="0"/>
              <w:jc w:val="center"/>
              <w:textAlignment w:val="center"/>
              <w:rPr>
                <w:szCs w:val="21"/>
              </w:rPr>
            </w:pPr>
            <w:r>
              <w:rPr>
                <w:szCs w:val="21"/>
              </w:rPr>
              <w:t>（次高分）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25.0分</w:t>
            </w:r>
          </w:p>
          <w:p>
            <w:pPr>
              <w:widowControl/>
              <w:adjustRightInd w:val="0"/>
              <w:snapToGrid w:val="0"/>
              <w:spacing w:line="360" w:lineRule="auto"/>
              <w:ind w:firstLine="0" w:firstLineChars="0"/>
              <w:jc w:val="center"/>
              <w:textAlignment w:val="center"/>
              <w:rPr>
                <w:szCs w:val="21"/>
              </w:rPr>
            </w:pPr>
            <w:r>
              <w:rPr>
                <w:szCs w:val="21"/>
              </w:rPr>
              <w:t>（次高分）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25.0分</w:t>
            </w:r>
          </w:p>
          <w:p>
            <w:pPr>
              <w:widowControl/>
              <w:adjustRightInd w:val="0"/>
              <w:snapToGrid w:val="0"/>
              <w:spacing w:line="360" w:lineRule="auto"/>
              <w:ind w:firstLine="0" w:firstLineChars="0"/>
              <w:jc w:val="center"/>
              <w:textAlignment w:val="center"/>
              <w:rPr>
                <w:szCs w:val="21"/>
              </w:rPr>
            </w:pPr>
            <w:r>
              <w:rPr>
                <w:szCs w:val="21"/>
              </w:rPr>
              <w:t>（最高分）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23.0分</w:t>
            </w:r>
          </w:p>
          <w:p>
            <w:pPr>
              <w:widowControl/>
              <w:adjustRightInd w:val="0"/>
              <w:snapToGrid w:val="0"/>
              <w:spacing w:line="360" w:lineRule="auto"/>
              <w:ind w:firstLine="0" w:firstLineChars="0"/>
              <w:jc w:val="center"/>
              <w:textAlignment w:val="center"/>
              <w:rPr>
                <w:szCs w:val="21"/>
              </w:rPr>
            </w:pPr>
            <w:r>
              <w:rPr>
                <w:szCs w:val="21"/>
              </w:rPr>
              <w:t>（次高分）</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投标</w:t>
            </w:r>
            <w:r>
              <w:rPr>
                <w:rFonts w:hint="eastAsia"/>
                <w:szCs w:val="21"/>
              </w:rPr>
              <w:t>人</w:t>
            </w:r>
            <w:r>
              <w:rPr>
                <w:szCs w:val="21"/>
              </w:rPr>
              <w:t>4</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24.0 分</w:t>
            </w:r>
          </w:p>
          <w:p>
            <w:pPr>
              <w:widowControl/>
              <w:adjustRightInd w:val="0"/>
              <w:snapToGrid w:val="0"/>
              <w:spacing w:line="360" w:lineRule="auto"/>
              <w:ind w:firstLine="0" w:firstLineChars="0"/>
              <w:jc w:val="center"/>
              <w:textAlignment w:val="center"/>
              <w:rPr>
                <w:szCs w:val="21"/>
              </w:rPr>
            </w:pPr>
            <w:r>
              <w:rPr>
                <w:szCs w:val="21"/>
              </w:rPr>
              <w:t>（次次高分）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24.0 分</w:t>
            </w:r>
          </w:p>
          <w:p>
            <w:pPr>
              <w:widowControl/>
              <w:adjustRightInd w:val="0"/>
              <w:snapToGrid w:val="0"/>
              <w:spacing w:line="360" w:lineRule="auto"/>
              <w:ind w:firstLine="0" w:firstLineChars="0"/>
              <w:jc w:val="center"/>
              <w:textAlignment w:val="center"/>
              <w:rPr>
                <w:szCs w:val="21"/>
              </w:rPr>
            </w:pPr>
            <w:r>
              <w:rPr>
                <w:szCs w:val="21"/>
              </w:rPr>
              <w:t>（次次高分）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28.0 分</w:t>
            </w:r>
          </w:p>
          <w:p>
            <w:pPr>
              <w:widowControl/>
              <w:adjustRightInd w:val="0"/>
              <w:snapToGrid w:val="0"/>
              <w:spacing w:line="360" w:lineRule="auto"/>
              <w:ind w:firstLine="0" w:firstLineChars="0"/>
              <w:jc w:val="center"/>
              <w:textAlignment w:val="center"/>
              <w:rPr>
                <w:szCs w:val="21"/>
              </w:rPr>
            </w:pPr>
            <w:r>
              <w:rPr>
                <w:szCs w:val="21"/>
              </w:rPr>
              <w:t>（最高分）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23.0 分</w:t>
            </w:r>
          </w:p>
          <w:p>
            <w:pPr>
              <w:widowControl/>
              <w:adjustRightInd w:val="0"/>
              <w:snapToGrid w:val="0"/>
              <w:spacing w:line="360" w:lineRule="auto"/>
              <w:ind w:firstLine="0" w:firstLineChars="0"/>
              <w:jc w:val="center"/>
              <w:textAlignment w:val="center"/>
              <w:rPr>
                <w:szCs w:val="21"/>
              </w:rPr>
            </w:pPr>
            <w:r>
              <w:rPr>
                <w:szCs w:val="21"/>
              </w:rPr>
              <w:t>（次次高分）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20.0分</w:t>
            </w:r>
          </w:p>
          <w:p>
            <w:pPr>
              <w:widowControl/>
              <w:adjustRightInd w:val="0"/>
              <w:snapToGrid w:val="0"/>
              <w:spacing w:line="360" w:lineRule="auto"/>
              <w:ind w:firstLine="0" w:firstLineChars="0"/>
              <w:jc w:val="center"/>
              <w:textAlignment w:val="center"/>
              <w:rPr>
                <w:szCs w:val="21"/>
              </w:rPr>
            </w:pPr>
            <w:r>
              <w:rPr>
                <w:szCs w:val="21"/>
              </w:rPr>
              <w:t>（最低分）</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投标</w:t>
            </w:r>
            <w:r>
              <w:rPr>
                <w:rFonts w:hint="eastAsia"/>
                <w:szCs w:val="21"/>
              </w:rPr>
              <w:t>人</w:t>
            </w:r>
            <w:r>
              <w:rPr>
                <w:szCs w:val="21"/>
              </w:rPr>
              <w:t>5</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22.0分</w:t>
            </w:r>
          </w:p>
          <w:p>
            <w:pPr>
              <w:widowControl/>
              <w:adjustRightInd w:val="0"/>
              <w:snapToGrid w:val="0"/>
              <w:spacing w:line="360" w:lineRule="auto"/>
              <w:ind w:firstLine="0" w:firstLineChars="0"/>
              <w:jc w:val="center"/>
              <w:textAlignment w:val="center"/>
              <w:rPr>
                <w:szCs w:val="21"/>
              </w:rPr>
            </w:pPr>
            <w:r>
              <w:rPr>
                <w:szCs w:val="21"/>
              </w:rPr>
              <w:t>（最低分）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22.0分</w:t>
            </w:r>
          </w:p>
          <w:p>
            <w:pPr>
              <w:widowControl/>
              <w:adjustRightInd w:val="0"/>
              <w:snapToGrid w:val="0"/>
              <w:spacing w:line="360" w:lineRule="auto"/>
              <w:ind w:firstLine="0" w:firstLineChars="0"/>
              <w:jc w:val="center"/>
              <w:textAlignment w:val="center"/>
              <w:rPr>
                <w:szCs w:val="21"/>
              </w:rPr>
            </w:pPr>
            <w:r>
              <w:rPr>
                <w:szCs w:val="21"/>
              </w:rPr>
              <w:t>（最低分）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24.0分</w:t>
            </w:r>
          </w:p>
          <w:p>
            <w:pPr>
              <w:widowControl/>
              <w:adjustRightInd w:val="0"/>
              <w:snapToGrid w:val="0"/>
              <w:spacing w:line="360" w:lineRule="auto"/>
              <w:ind w:firstLine="0" w:firstLineChars="0"/>
              <w:jc w:val="center"/>
              <w:textAlignment w:val="center"/>
              <w:rPr>
                <w:szCs w:val="21"/>
              </w:rPr>
            </w:pPr>
            <w:r>
              <w:rPr>
                <w:szCs w:val="21"/>
              </w:rPr>
              <w:t>（次次高分）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22.0分</w:t>
            </w:r>
          </w:p>
          <w:p>
            <w:pPr>
              <w:widowControl/>
              <w:adjustRightInd w:val="0"/>
              <w:snapToGrid w:val="0"/>
              <w:spacing w:line="360" w:lineRule="auto"/>
              <w:ind w:firstLine="0" w:firstLineChars="0"/>
              <w:jc w:val="center"/>
              <w:textAlignment w:val="center"/>
              <w:rPr>
                <w:szCs w:val="21"/>
              </w:rPr>
            </w:pPr>
            <w:r>
              <w:rPr>
                <w:szCs w:val="21"/>
              </w:rPr>
              <w:t>（最低分）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22.0分</w:t>
            </w:r>
          </w:p>
          <w:p>
            <w:pPr>
              <w:widowControl/>
              <w:adjustRightInd w:val="0"/>
              <w:snapToGrid w:val="0"/>
              <w:spacing w:line="360" w:lineRule="auto"/>
              <w:ind w:firstLine="0" w:firstLineChars="0"/>
              <w:jc w:val="center"/>
              <w:textAlignment w:val="center"/>
              <w:rPr>
                <w:szCs w:val="21"/>
              </w:rPr>
            </w:pPr>
            <w:r>
              <w:rPr>
                <w:szCs w:val="21"/>
              </w:rPr>
              <w:t>（次次高分）</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投标</w:t>
            </w:r>
            <w:r>
              <w:rPr>
                <w:rFonts w:hint="eastAsia"/>
                <w:szCs w:val="21"/>
              </w:rPr>
              <w:t>人</w:t>
            </w:r>
            <w:r>
              <w:rPr>
                <w:szCs w:val="21"/>
              </w:rPr>
              <w:t>6</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22.0分</w:t>
            </w:r>
          </w:p>
          <w:p>
            <w:pPr>
              <w:widowControl/>
              <w:adjustRightInd w:val="0"/>
              <w:snapToGrid w:val="0"/>
              <w:spacing w:line="360" w:lineRule="auto"/>
              <w:ind w:firstLine="0" w:firstLineChars="0"/>
              <w:jc w:val="center"/>
              <w:textAlignment w:val="center"/>
              <w:rPr>
                <w:szCs w:val="21"/>
              </w:rPr>
            </w:pPr>
            <w:r>
              <w:rPr>
                <w:szCs w:val="21"/>
              </w:rPr>
              <w:t>（最低分）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22.0分</w:t>
            </w:r>
          </w:p>
          <w:p>
            <w:pPr>
              <w:widowControl/>
              <w:adjustRightInd w:val="0"/>
              <w:snapToGrid w:val="0"/>
              <w:spacing w:line="360" w:lineRule="auto"/>
              <w:ind w:firstLine="0" w:firstLineChars="0"/>
              <w:jc w:val="center"/>
              <w:textAlignment w:val="center"/>
              <w:rPr>
                <w:szCs w:val="21"/>
              </w:rPr>
            </w:pPr>
            <w:r>
              <w:rPr>
                <w:szCs w:val="21"/>
              </w:rPr>
              <w:t>（最低分）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22.0分</w:t>
            </w:r>
          </w:p>
          <w:p>
            <w:pPr>
              <w:widowControl/>
              <w:adjustRightInd w:val="0"/>
              <w:snapToGrid w:val="0"/>
              <w:spacing w:line="360" w:lineRule="auto"/>
              <w:ind w:firstLine="0" w:firstLineChars="0"/>
              <w:jc w:val="center"/>
              <w:textAlignment w:val="center"/>
              <w:rPr>
                <w:szCs w:val="21"/>
              </w:rPr>
            </w:pPr>
            <w:r>
              <w:rPr>
                <w:szCs w:val="21"/>
              </w:rPr>
              <w:t>（最低分）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22.0分</w:t>
            </w:r>
          </w:p>
          <w:p>
            <w:pPr>
              <w:widowControl/>
              <w:adjustRightInd w:val="0"/>
              <w:snapToGrid w:val="0"/>
              <w:spacing w:line="360" w:lineRule="auto"/>
              <w:ind w:firstLine="0" w:firstLineChars="0"/>
              <w:jc w:val="center"/>
              <w:textAlignment w:val="center"/>
              <w:rPr>
                <w:szCs w:val="21"/>
              </w:rPr>
            </w:pPr>
            <w:r>
              <w:rPr>
                <w:szCs w:val="21"/>
              </w:rPr>
              <w:t>（最低分）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30.0分</w:t>
            </w:r>
          </w:p>
          <w:p>
            <w:pPr>
              <w:widowControl/>
              <w:adjustRightInd w:val="0"/>
              <w:snapToGrid w:val="0"/>
              <w:spacing w:line="360" w:lineRule="auto"/>
              <w:ind w:firstLine="0" w:firstLineChars="0"/>
              <w:jc w:val="center"/>
              <w:textAlignment w:val="center"/>
              <w:rPr>
                <w:szCs w:val="21"/>
              </w:rPr>
            </w:pPr>
            <w:r>
              <w:rPr>
                <w:szCs w:val="21"/>
              </w:rPr>
              <w:t>（最高分）</w:t>
            </w:r>
          </w:p>
        </w:tc>
      </w:tr>
      <w:tr>
        <w:tblPrEx>
          <w:tblCellMar>
            <w:top w:w="0" w:type="dxa"/>
            <w:left w:w="108" w:type="dxa"/>
            <w:bottom w:w="0" w:type="dxa"/>
            <w:right w:w="108" w:type="dxa"/>
          </w:tblCellMar>
        </w:tblPrEx>
        <w:trPr>
          <w:trHeight w:val="415" w:hRule="atLeast"/>
          <w:jc w:val="center"/>
        </w:trPr>
        <w:tc>
          <w:tcPr>
            <w:tcW w:w="9399" w:type="dxa"/>
            <w:gridSpan w:val="7"/>
            <w:tcBorders>
              <w:top w:val="single" w:color="auto" w:sz="4" w:space="0"/>
              <w:left w:val="single" w:color="000000" w:sz="4" w:space="0"/>
              <w:bottom w:val="single" w:color="auto" w:sz="4" w:space="0"/>
              <w:right w:val="single" w:color="000000" w:sz="4" w:space="0"/>
            </w:tcBorders>
            <w:shd w:val="clear" w:color="auto" w:fill="BEBEBE"/>
            <w:noWrap/>
            <w:vAlign w:val="center"/>
          </w:tcPr>
          <w:p>
            <w:pPr>
              <w:widowControl/>
              <w:adjustRightInd w:val="0"/>
              <w:snapToGrid w:val="0"/>
              <w:spacing w:line="360" w:lineRule="auto"/>
              <w:ind w:firstLine="0" w:firstLineChars="0"/>
              <w:jc w:val="center"/>
              <w:textAlignment w:val="center"/>
              <w:rPr>
                <w:b/>
                <w:bCs/>
                <w:szCs w:val="21"/>
              </w:rPr>
            </w:pPr>
            <w:r>
              <w:rPr>
                <w:b/>
                <w:bCs/>
                <w:szCs w:val="21"/>
              </w:rPr>
              <w:t>列举评委1纵向偏差率计算</w:t>
            </w:r>
          </w:p>
        </w:tc>
      </w:tr>
      <w:tr>
        <w:tblPrEx>
          <w:tblCellMar>
            <w:top w:w="0" w:type="dxa"/>
            <w:left w:w="108" w:type="dxa"/>
            <w:bottom w:w="0" w:type="dxa"/>
            <w:right w:w="108" w:type="dxa"/>
          </w:tblCellMar>
        </w:tblPrEx>
        <w:trPr>
          <w:trHeight w:val="472" w:hRule="atLeast"/>
          <w:jc w:val="center"/>
        </w:trPr>
        <w:tc>
          <w:tcPr>
            <w:tcW w:w="305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评委1的纵向偏差率</w:t>
            </w:r>
          </w:p>
        </w:tc>
        <w:tc>
          <w:tcPr>
            <w:tcW w:w="6344"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 xml:space="preserve">【（28.0-26.0）÷28.0】×100%=7.14% </w:t>
            </w:r>
          </w:p>
        </w:tc>
      </w:tr>
      <w:tr>
        <w:tblPrEx>
          <w:tblCellMar>
            <w:top w:w="0" w:type="dxa"/>
            <w:left w:w="108" w:type="dxa"/>
            <w:bottom w:w="0" w:type="dxa"/>
            <w:right w:w="108" w:type="dxa"/>
          </w:tblCellMar>
        </w:tblPrEx>
        <w:trPr>
          <w:trHeight w:val="412" w:hRule="atLeast"/>
          <w:jc w:val="center"/>
        </w:trPr>
        <w:tc>
          <w:tcPr>
            <w:tcW w:w="9399" w:type="dxa"/>
            <w:gridSpan w:val="7"/>
            <w:tcBorders>
              <w:top w:val="single" w:color="auto" w:sz="4" w:space="0"/>
              <w:left w:val="single" w:color="auto" w:sz="4" w:space="0"/>
              <w:bottom w:val="single" w:color="auto" w:sz="4" w:space="0"/>
              <w:right w:val="single" w:color="auto" w:sz="4" w:space="0"/>
            </w:tcBorders>
            <w:shd w:val="clear" w:color="auto" w:fill="BEBEBE"/>
            <w:noWrap/>
            <w:vAlign w:val="center"/>
          </w:tcPr>
          <w:p>
            <w:pPr>
              <w:widowControl/>
              <w:adjustRightInd w:val="0"/>
              <w:snapToGrid w:val="0"/>
              <w:spacing w:line="360" w:lineRule="auto"/>
              <w:ind w:firstLine="0" w:firstLineChars="0"/>
              <w:jc w:val="center"/>
              <w:textAlignment w:val="center"/>
              <w:rPr>
                <w:b/>
                <w:bCs/>
                <w:szCs w:val="21"/>
              </w:rPr>
            </w:pPr>
            <w:r>
              <w:rPr>
                <w:b/>
                <w:bCs/>
                <w:szCs w:val="21"/>
              </w:rPr>
              <w:t>列举评委1横向偏差率计算</w:t>
            </w:r>
          </w:p>
        </w:tc>
      </w:tr>
      <w:tr>
        <w:tblPrEx>
          <w:tblCellMar>
            <w:top w:w="0" w:type="dxa"/>
            <w:left w:w="108" w:type="dxa"/>
            <w:bottom w:w="0" w:type="dxa"/>
            <w:right w:w="108" w:type="dxa"/>
          </w:tblCellMar>
        </w:tblPrEx>
        <w:trPr>
          <w:trHeight w:val="1017" w:hRule="atLeast"/>
          <w:jc w:val="center"/>
        </w:trPr>
        <w:tc>
          <w:tcPr>
            <w:tcW w:w="1542" w:type="dxa"/>
            <w:vMerge w:val="restart"/>
            <w:tcBorders>
              <w:top w:val="single" w:color="auto" w:sz="4" w:space="0"/>
              <w:left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r>
              <w:rPr>
                <w:szCs w:val="21"/>
              </w:rPr>
              <w:t>评委1的</w:t>
            </w:r>
          </w:p>
          <w:p>
            <w:pPr>
              <w:widowControl/>
              <w:adjustRightInd w:val="0"/>
              <w:snapToGrid w:val="0"/>
              <w:spacing w:line="360" w:lineRule="auto"/>
              <w:ind w:firstLine="0" w:firstLineChars="0"/>
              <w:jc w:val="center"/>
              <w:textAlignment w:val="center"/>
              <w:rPr>
                <w:szCs w:val="21"/>
              </w:rPr>
            </w:pPr>
            <w:r>
              <w:rPr>
                <w:szCs w:val="21"/>
              </w:rPr>
              <w:t>横向偏差</w:t>
            </w:r>
          </w:p>
        </w:tc>
        <w:tc>
          <w:tcPr>
            <w:tcW w:w="7857"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wordWrap w:val="0"/>
              <w:adjustRightInd w:val="0"/>
              <w:snapToGrid w:val="0"/>
              <w:spacing w:line="360" w:lineRule="auto"/>
              <w:ind w:firstLine="0" w:firstLineChars="0"/>
              <w:jc w:val="left"/>
              <w:textAlignment w:val="center"/>
              <w:rPr>
                <w:szCs w:val="21"/>
              </w:rPr>
            </w:pPr>
            <w:r>
              <w:rPr>
                <w:szCs w:val="21"/>
              </w:rPr>
              <w:t>对投标</w:t>
            </w:r>
            <w:r>
              <w:rPr>
                <w:rFonts w:hint="eastAsia"/>
                <w:szCs w:val="21"/>
              </w:rPr>
              <w:t>人</w:t>
            </w:r>
            <w:r>
              <w:rPr>
                <w:szCs w:val="21"/>
              </w:rPr>
              <w:t>1计算横向偏差={28.0-[（30.0+22.0+25.0+20.0）÷4]}÷[（30.0+22.0+25.0+20.0）÷4]×100%={28.0-24.25}÷[24.25]×100%=15.46%</w:t>
            </w:r>
          </w:p>
        </w:tc>
      </w:tr>
      <w:tr>
        <w:tblPrEx>
          <w:tblCellMar>
            <w:top w:w="0" w:type="dxa"/>
            <w:left w:w="108" w:type="dxa"/>
            <w:bottom w:w="0" w:type="dxa"/>
            <w:right w:w="108" w:type="dxa"/>
          </w:tblCellMar>
        </w:tblPrEx>
        <w:trPr>
          <w:trHeight w:val="905" w:hRule="atLeast"/>
          <w:jc w:val="center"/>
        </w:trPr>
        <w:tc>
          <w:tcPr>
            <w:tcW w:w="1542" w:type="dxa"/>
            <w:vMerge w:val="continue"/>
            <w:tcBorders>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ind w:firstLine="0" w:firstLineChars="0"/>
              <w:jc w:val="center"/>
              <w:textAlignment w:val="center"/>
              <w:rPr>
                <w:szCs w:val="21"/>
              </w:rPr>
            </w:pPr>
          </w:p>
        </w:tc>
        <w:tc>
          <w:tcPr>
            <w:tcW w:w="7857"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wordWrap w:val="0"/>
              <w:adjustRightInd w:val="0"/>
              <w:snapToGrid w:val="0"/>
              <w:spacing w:line="360" w:lineRule="auto"/>
              <w:ind w:firstLine="0" w:firstLineChars="0"/>
              <w:jc w:val="left"/>
              <w:textAlignment w:val="center"/>
              <w:rPr>
                <w:szCs w:val="21"/>
              </w:rPr>
            </w:pPr>
            <w:r>
              <w:rPr>
                <w:szCs w:val="21"/>
              </w:rPr>
              <w:t>对投标人2计算横向偏差={28.0-[（28.0+28.0+24.0+22.0）÷4]}÷[（28.0+28.0+24.0+22.0）÷4]×100%={28.0-25.50}÷[25.50]×100%=9.80%</w:t>
            </w:r>
          </w:p>
        </w:tc>
      </w:tr>
    </w:tbl>
    <w:p>
      <w:pPr>
        <w:spacing w:line="360" w:lineRule="auto"/>
        <w:ind w:firstLine="480"/>
        <w:rPr>
          <w:sz w:val="24"/>
        </w:rPr>
      </w:pPr>
    </w:p>
    <w:p>
      <w:pPr>
        <w:spacing w:line="360" w:lineRule="auto"/>
        <w:ind w:firstLine="480"/>
        <w:rPr>
          <w:sz w:val="24"/>
        </w:rPr>
      </w:pPr>
      <w:r>
        <w:rPr>
          <w:rFonts w:hint="eastAsia" w:ascii="宋体" w:hAnsi="宋体" w:cs="宋体"/>
          <w:sz w:val="24"/>
        </w:rPr>
        <w:t>②</w:t>
      </w:r>
      <w:r>
        <w:rPr>
          <w:sz w:val="24"/>
        </w:rPr>
        <w:t>其次，根据评委技术文件详细评审打分汇总（以下</w:t>
      </w:r>
      <w:r>
        <w:rPr>
          <w:rFonts w:hint="eastAsia" w:ascii="宋体" w:hAnsi="宋体" w:cs="宋体"/>
          <w:sz w:val="24"/>
        </w:rPr>
        <w:t>简称“技术打分”</w:t>
      </w:r>
      <w:r>
        <w:rPr>
          <w:sz w:val="24"/>
        </w:rPr>
        <w:t xml:space="preserve">），计算打分差值 </w:t>
      </w:r>
    </w:p>
    <w:p>
      <w:pPr>
        <w:spacing w:line="360" w:lineRule="auto"/>
        <w:ind w:firstLine="480"/>
        <w:rPr>
          <w:sz w:val="24"/>
        </w:rPr>
      </w:pPr>
      <w:r>
        <w:rPr>
          <w:sz w:val="24"/>
        </w:rPr>
        <w:t>a.当未出现上述</w:t>
      </w:r>
      <w:r>
        <w:rPr>
          <w:rFonts w:hint="eastAsia" w:ascii="宋体" w:hAnsi="宋体" w:cs="宋体"/>
          <w:sz w:val="24"/>
        </w:rPr>
        <w:t>①</w:t>
      </w:r>
      <w:r>
        <w:rPr>
          <w:sz w:val="24"/>
        </w:rPr>
        <w:t>中评委的技术打分不纳入投标人得分计算的情形时，根据评委对其评审的各投标人的技术打分进行排序，计算该评委最高与最低技术打分的差值；</w:t>
      </w:r>
    </w:p>
    <w:p>
      <w:pPr>
        <w:spacing w:line="360" w:lineRule="auto"/>
        <w:ind w:firstLine="480"/>
        <w:rPr>
          <w:sz w:val="24"/>
        </w:rPr>
      </w:pPr>
      <w:r>
        <w:rPr>
          <w:sz w:val="24"/>
        </w:rPr>
        <w:t>所有评委中技术打分差值最大的，其技术打分不纳入投标人得分计算。当出现技术打分差值最大的评委为 2名或以上时，则计算该情形的评委次最高与最低技术打分的差值，次差值最大的评委的技术打分不纳入投标人得分计算；如次差值也相同时，则计算该情形的评委次次最高与最低技术打分的差值，次次差值最大的评委的技术打分不纳入投标人得分计算；以此类推。若最终仍然无法判断的，由评标委员会随机确定1位该情形评委的技术打分不纳入投标人得分计算。</w:t>
      </w:r>
    </w:p>
    <w:p>
      <w:pPr>
        <w:spacing w:line="360" w:lineRule="auto"/>
        <w:ind w:firstLine="480"/>
        <w:rPr>
          <w:sz w:val="24"/>
        </w:rPr>
      </w:pPr>
      <w:r>
        <w:rPr>
          <w:sz w:val="24"/>
        </w:rPr>
        <w:t>注：技术打分相同的，一并纳入同情形差值计算（见示例标示）。</w:t>
      </w:r>
    </w:p>
    <w:p>
      <w:pPr>
        <w:spacing w:line="360" w:lineRule="auto"/>
        <w:ind w:firstLine="480"/>
        <w:rPr>
          <w:sz w:val="24"/>
        </w:rPr>
      </w:pPr>
      <w:r>
        <w:rPr>
          <w:sz w:val="24"/>
        </w:rPr>
        <w:t>b.当出现上述</w:t>
      </w:r>
      <w:r>
        <w:rPr>
          <w:rFonts w:hint="eastAsia" w:ascii="宋体" w:hAnsi="宋体" w:cs="宋体"/>
          <w:sz w:val="24"/>
        </w:rPr>
        <w:t>①</w:t>
      </w:r>
      <w:r>
        <w:rPr>
          <w:sz w:val="24"/>
        </w:rPr>
        <w:t>中评委的技术打分不纳入投标人得分计算的情形时，不再计算技术打分最大差值，直接进入下一步计算。</w:t>
      </w:r>
    </w:p>
    <w:p>
      <w:pPr>
        <w:spacing w:line="360" w:lineRule="auto"/>
        <w:ind w:firstLine="480"/>
        <w:rPr>
          <w:sz w:val="24"/>
        </w:rPr>
      </w:pPr>
      <w:r>
        <w:rPr>
          <w:rFonts w:hint="eastAsia" w:ascii="宋体" w:hAnsi="宋体" w:cs="宋体"/>
          <w:sz w:val="24"/>
        </w:rPr>
        <w:t>③</w:t>
      </w:r>
      <w:r>
        <w:rPr>
          <w:sz w:val="24"/>
        </w:rPr>
        <w:t xml:space="preserve">再次，计算技术文件详细评审得分 </w:t>
      </w:r>
    </w:p>
    <w:p>
      <w:pPr>
        <w:spacing w:line="360" w:lineRule="auto"/>
        <w:ind w:firstLine="480"/>
        <w:rPr>
          <w:sz w:val="24"/>
        </w:rPr>
      </w:pPr>
      <w:r>
        <w:rPr>
          <w:rFonts w:hint="default"/>
          <w:sz w:val="24"/>
        </w:rPr>
        <w:t>依据上述①②的判断，按照剩余各评委的技术文件详细评审本章第2.2.2（</w:t>
      </w:r>
      <w:r>
        <w:rPr>
          <w:rFonts w:hint="eastAsia"/>
          <w:sz w:val="24"/>
          <w:lang w:val="en-US" w:eastAsia="zh-CN"/>
        </w:rPr>
        <w:t>1</w:t>
      </w:r>
      <w:r>
        <w:rPr>
          <w:rFonts w:hint="default"/>
          <w:sz w:val="24"/>
        </w:rPr>
        <w:t>）目中对应的各评分因素</w:t>
      </w:r>
      <w:r>
        <w:rPr>
          <w:rFonts w:hint="eastAsia"/>
          <w:sz w:val="24"/>
          <w:lang w:val="en-US" w:eastAsia="zh-CN"/>
        </w:rPr>
        <w:t>细分项</w:t>
      </w:r>
      <w:r>
        <w:rPr>
          <w:rFonts w:hint="default"/>
          <w:sz w:val="24"/>
        </w:rPr>
        <w:t>的打分，去掉一个最高分和一个最低分后计算算术平均值，为该评分因素</w:t>
      </w:r>
      <w:r>
        <w:rPr>
          <w:rFonts w:hint="eastAsia"/>
          <w:sz w:val="24"/>
          <w:lang w:val="en-US" w:eastAsia="zh-CN"/>
        </w:rPr>
        <w:t>细分项</w:t>
      </w:r>
      <w:r>
        <w:rPr>
          <w:rFonts w:hint="default"/>
          <w:sz w:val="24"/>
        </w:rPr>
        <w:t>的得分</w:t>
      </w:r>
      <w:r>
        <w:rPr>
          <w:sz w:val="24"/>
        </w:rPr>
        <w:t>；</w:t>
      </w:r>
    </w:p>
    <w:p>
      <w:pPr>
        <w:spacing w:line="360" w:lineRule="auto"/>
        <w:ind w:firstLine="480"/>
        <w:rPr>
          <w:sz w:val="24"/>
        </w:rPr>
      </w:pPr>
      <w:r>
        <w:rPr>
          <w:rFonts w:hint="default"/>
          <w:sz w:val="24"/>
        </w:rPr>
        <w:t>投标人第2.2.2（</w:t>
      </w:r>
      <w:r>
        <w:rPr>
          <w:rFonts w:hint="eastAsia"/>
          <w:sz w:val="24"/>
          <w:lang w:val="en-US" w:eastAsia="zh-CN"/>
        </w:rPr>
        <w:t>1</w:t>
      </w:r>
      <w:r>
        <w:rPr>
          <w:rFonts w:hint="default"/>
          <w:sz w:val="24"/>
        </w:rPr>
        <w:t>）目得分</w:t>
      </w:r>
      <w:r>
        <w:rPr>
          <w:rFonts w:hint="eastAsia"/>
          <w:sz w:val="24"/>
          <w:lang w:val="en-US" w:eastAsia="zh-CN"/>
        </w:rPr>
        <w:t>A</w:t>
      </w:r>
      <w:r>
        <w:rPr>
          <w:rFonts w:hint="default"/>
          <w:sz w:val="24"/>
        </w:rPr>
        <w:t>为该目中对应各评分因素</w:t>
      </w:r>
      <w:r>
        <w:rPr>
          <w:rFonts w:hint="eastAsia"/>
          <w:sz w:val="24"/>
          <w:lang w:val="en-US" w:eastAsia="zh-CN"/>
        </w:rPr>
        <w:t>细分项</w:t>
      </w:r>
      <w:r>
        <w:rPr>
          <w:rFonts w:hint="default"/>
          <w:sz w:val="24"/>
        </w:rPr>
        <w:t>得分的和</w:t>
      </w:r>
      <w:r>
        <w:rPr>
          <w:sz w:val="24"/>
        </w:rPr>
        <w:t>；</w:t>
      </w:r>
    </w:p>
    <w:p>
      <w:pPr>
        <w:spacing w:line="360" w:lineRule="auto"/>
        <w:ind w:firstLine="480"/>
        <w:rPr>
          <w:sz w:val="24"/>
        </w:rPr>
      </w:pPr>
      <w:r>
        <w:rPr>
          <w:rFonts w:hint="default"/>
          <w:sz w:val="24"/>
        </w:rPr>
        <w:t>投标人技术文件详细评审得分=</w:t>
      </w:r>
      <w:r>
        <w:rPr>
          <w:rFonts w:hint="eastAsia"/>
          <w:sz w:val="24"/>
          <w:lang w:val="en-US" w:eastAsia="zh-CN"/>
        </w:rPr>
        <w:t>A</w:t>
      </w:r>
      <w:r>
        <w:rPr>
          <w:sz w:val="24"/>
        </w:rPr>
        <w:t>。</w:t>
      </w:r>
    </w:p>
    <w:p>
      <w:pPr>
        <w:spacing w:line="360" w:lineRule="auto"/>
        <w:ind w:firstLine="480"/>
        <w:rPr>
          <w:sz w:val="24"/>
        </w:rPr>
      </w:pPr>
    </w:p>
    <w:p>
      <w:pPr>
        <w:spacing w:line="360" w:lineRule="auto"/>
        <w:ind w:firstLine="482"/>
        <w:rPr>
          <w:b/>
          <w:bCs/>
          <w:sz w:val="24"/>
        </w:rPr>
      </w:pPr>
      <w:r>
        <w:rPr>
          <w:b/>
          <w:bCs/>
          <w:sz w:val="24"/>
        </w:rPr>
        <w:br w:type="page"/>
      </w:r>
    </w:p>
    <w:p>
      <w:pPr>
        <w:keepNext/>
        <w:keepLines/>
        <w:spacing w:beforeLines="100" w:afterLines="100"/>
        <w:ind w:firstLine="0" w:firstLineChars="0"/>
        <w:jc w:val="center"/>
        <w:outlineLvl w:val="2"/>
        <w:rPr>
          <w:rFonts w:eastAsia="黑体"/>
          <w:sz w:val="24"/>
          <w:szCs w:val="32"/>
        </w:rPr>
      </w:pPr>
      <w:bookmarkStart w:id="433" w:name="_Toc20375"/>
      <w:bookmarkStart w:id="434" w:name="_Toc29422"/>
      <w:bookmarkStart w:id="435" w:name="_Toc138689410"/>
      <w:bookmarkStart w:id="436" w:name="_Toc6458"/>
      <w:bookmarkStart w:id="437" w:name="_Toc18619"/>
      <w:r>
        <w:rPr>
          <w:rFonts w:eastAsia="黑体"/>
          <w:sz w:val="24"/>
          <w:szCs w:val="32"/>
        </w:rPr>
        <w:t>附件2：否决投标的其他情形</w:t>
      </w:r>
      <w:bookmarkEnd w:id="433"/>
      <w:bookmarkEnd w:id="434"/>
      <w:bookmarkEnd w:id="435"/>
      <w:bookmarkEnd w:id="436"/>
      <w:bookmarkEnd w:id="437"/>
    </w:p>
    <w:p>
      <w:pPr>
        <w:spacing w:line="360" w:lineRule="auto"/>
        <w:ind w:firstLine="480"/>
        <w:rPr>
          <w:sz w:val="24"/>
        </w:rPr>
      </w:pPr>
      <w:r>
        <w:rPr>
          <w:sz w:val="24"/>
        </w:rPr>
        <w:t>1.评标委员会应对在评标过程中发现的投标人与投标人之间、投标人与招标人之间存在的串通投标的情形进行评审和认定。投标人存在串通投标、弄虚作假、行贿等违法行为的，评标委员会应否决其投标。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80"/>
        <w:rPr>
          <w:sz w:val="24"/>
        </w:rPr>
      </w:pPr>
      <w:r>
        <w:rPr>
          <w:sz w:val="24"/>
        </w:rPr>
        <w:t>（1）有下列情形之一的，属于投标人相互串通投标：</w:t>
      </w:r>
    </w:p>
    <w:p>
      <w:pPr>
        <w:spacing w:line="360" w:lineRule="auto"/>
        <w:ind w:firstLine="480"/>
        <w:rPr>
          <w:sz w:val="24"/>
        </w:rPr>
      </w:pPr>
      <w:r>
        <w:rPr>
          <w:rFonts w:hint="eastAsia" w:ascii="宋体" w:hAnsi="宋体" w:cs="宋体"/>
          <w:sz w:val="24"/>
        </w:rPr>
        <w:t>①</w:t>
      </w:r>
      <w:r>
        <w:rPr>
          <w:sz w:val="24"/>
        </w:rPr>
        <w:t>投标人之间协商投标报价等投标文件的实质性内容；</w:t>
      </w:r>
    </w:p>
    <w:p>
      <w:pPr>
        <w:spacing w:line="360" w:lineRule="auto"/>
        <w:ind w:firstLine="480"/>
        <w:rPr>
          <w:sz w:val="24"/>
        </w:rPr>
      </w:pPr>
      <w:r>
        <w:rPr>
          <w:rFonts w:hint="eastAsia" w:ascii="宋体" w:hAnsi="宋体" w:cs="宋体"/>
          <w:sz w:val="24"/>
        </w:rPr>
        <w:t>②</w:t>
      </w:r>
      <w:r>
        <w:rPr>
          <w:sz w:val="24"/>
        </w:rPr>
        <w:t>投标人之间约定中标人；</w:t>
      </w:r>
    </w:p>
    <w:p>
      <w:pPr>
        <w:spacing w:line="360" w:lineRule="auto"/>
        <w:ind w:firstLine="480"/>
        <w:rPr>
          <w:sz w:val="24"/>
        </w:rPr>
      </w:pPr>
      <w:r>
        <w:rPr>
          <w:rFonts w:hint="eastAsia" w:ascii="宋体" w:hAnsi="宋体" w:cs="宋体"/>
          <w:sz w:val="24"/>
        </w:rPr>
        <w:t>③</w:t>
      </w:r>
      <w:r>
        <w:rPr>
          <w:sz w:val="24"/>
        </w:rPr>
        <w:t>投标人之间约定部分投标人放弃投标或中标；</w:t>
      </w:r>
    </w:p>
    <w:p>
      <w:pPr>
        <w:spacing w:line="360" w:lineRule="auto"/>
        <w:ind w:firstLine="480"/>
        <w:rPr>
          <w:sz w:val="24"/>
        </w:rPr>
      </w:pPr>
      <w:r>
        <w:rPr>
          <w:rFonts w:hint="eastAsia" w:ascii="宋体" w:hAnsi="宋体" w:cs="宋体"/>
          <w:sz w:val="24"/>
        </w:rPr>
        <w:t>④</w:t>
      </w:r>
      <w:r>
        <w:rPr>
          <w:sz w:val="24"/>
        </w:rPr>
        <w:t>属于同一集团、协会、商会等组织成员的投标人按照该组织要求协同投标；</w:t>
      </w:r>
    </w:p>
    <w:p>
      <w:pPr>
        <w:spacing w:line="360" w:lineRule="auto"/>
        <w:ind w:firstLine="480"/>
        <w:rPr>
          <w:sz w:val="24"/>
        </w:rPr>
      </w:pPr>
      <w:r>
        <w:rPr>
          <w:rFonts w:hint="eastAsia" w:ascii="宋体" w:hAnsi="宋体" w:cs="宋体"/>
          <w:sz w:val="24"/>
        </w:rPr>
        <w:t>⑤</w:t>
      </w:r>
      <w:r>
        <w:rPr>
          <w:sz w:val="24"/>
        </w:rPr>
        <w:t>投标人之间为谋取中标或排斥特定投标人而采取的其他联合行动。</w:t>
      </w:r>
    </w:p>
    <w:p>
      <w:pPr>
        <w:spacing w:line="360" w:lineRule="auto"/>
        <w:ind w:firstLine="480"/>
        <w:rPr>
          <w:sz w:val="24"/>
        </w:rPr>
      </w:pPr>
      <w:r>
        <w:rPr>
          <w:sz w:val="24"/>
        </w:rPr>
        <w:t>（2）有下列情形之一的，视为投标人相互串通投标：</w:t>
      </w:r>
    </w:p>
    <w:p>
      <w:pPr>
        <w:spacing w:line="360" w:lineRule="auto"/>
        <w:ind w:firstLine="480"/>
        <w:rPr>
          <w:sz w:val="24"/>
        </w:rPr>
      </w:pPr>
      <w:r>
        <w:rPr>
          <w:rFonts w:hint="eastAsia" w:ascii="宋体" w:hAnsi="宋体" w:cs="宋体"/>
          <w:sz w:val="24"/>
        </w:rPr>
        <w:t>①</w:t>
      </w:r>
      <w:r>
        <w:rPr>
          <w:sz w:val="24"/>
        </w:rPr>
        <w:t>不同投标人的投标文件由同一单位或个人编制；</w:t>
      </w:r>
    </w:p>
    <w:p>
      <w:pPr>
        <w:spacing w:line="360" w:lineRule="auto"/>
        <w:ind w:firstLine="480"/>
        <w:rPr>
          <w:sz w:val="24"/>
        </w:rPr>
      </w:pPr>
      <w:r>
        <w:rPr>
          <w:rFonts w:hint="eastAsia" w:ascii="宋体" w:hAnsi="宋体" w:cs="宋体"/>
          <w:sz w:val="24"/>
        </w:rPr>
        <w:t>②</w:t>
      </w:r>
      <w:r>
        <w:rPr>
          <w:sz w:val="24"/>
        </w:rPr>
        <w:t>不同投标人委托同一单位或个人办理投标事宜；</w:t>
      </w:r>
    </w:p>
    <w:p>
      <w:pPr>
        <w:spacing w:line="360" w:lineRule="auto"/>
        <w:ind w:firstLine="480"/>
        <w:rPr>
          <w:sz w:val="24"/>
        </w:rPr>
      </w:pPr>
      <w:r>
        <w:rPr>
          <w:rFonts w:hint="eastAsia" w:ascii="宋体" w:hAnsi="宋体" w:cs="宋体"/>
          <w:sz w:val="24"/>
        </w:rPr>
        <w:t>③</w:t>
      </w:r>
      <w:r>
        <w:rPr>
          <w:sz w:val="24"/>
        </w:rPr>
        <w:t>不同投标人的投标文件载明的项目管理成员为同一人；</w:t>
      </w:r>
    </w:p>
    <w:p>
      <w:pPr>
        <w:spacing w:line="360" w:lineRule="auto"/>
        <w:ind w:firstLine="480"/>
        <w:rPr>
          <w:sz w:val="24"/>
        </w:rPr>
      </w:pPr>
      <w:r>
        <w:rPr>
          <w:rFonts w:hint="eastAsia" w:ascii="宋体" w:hAnsi="宋体" w:cs="宋体"/>
          <w:sz w:val="24"/>
        </w:rPr>
        <w:t>④</w:t>
      </w:r>
      <w:r>
        <w:rPr>
          <w:sz w:val="24"/>
        </w:rPr>
        <w:t>不同投标人的投标文件异常一致或投标报价呈规律性差异；</w:t>
      </w:r>
    </w:p>
    <w:p>
      <w:pPr>
        <w:spacing w:line="360" w:lineRule="auto"/>
        <w:ind w:firstLine="480"/>
        <w:rPr>
          <w:sz w:val="24"/>
        </w:rPr>
      </w:pPr>
      <w:r>
        <w:rPr>
          <w:rFonts w:hint="eastAsia" w:ascii="宋体" w:hAnsi="宋体" w:cs="宋体"/>
          <w:sz w:val="24"/>
        </w:rPr>
        <w:t>⑤</w:t>
      </w:r>
      <w:r>
        <w:rPr>
          <w:sz w:val="24"/>
        </w:rPr>
        <w:t>不同投标人的投标文件相互混装；</w:t>
      </w:r>
    </w:p>
    <w:p>
      <w:pPr>
        <w:spacing w:line="360" w:lineRule="auto"/>
        <w:ind w:firstLine="480"/>
        <w:rPr>
          <w:sz w:val="24"/>
        </w:rPr>
      </w:pPr>
      <w:r>
        <w:rPr>
          <w:rFonts w:hint="eastAsia" w:ascii="宋体" w:hAnsi="宋体" w:cs="宋体"/>
          <w:sz w:val="24"/>
        </w:rPr>
        <w:t>⑥</w:t>
      </w:r>
      <w:r>
        <w:rPr>
          <w:sz w:val="24"/>
        </w:rPr>
        <w:t>不同投标人的投标保证金从同一单位或个人的账户转出。</w:t>
      </w:r>
    </w:p>
    <w:p>
      <w:pPr>
        <w:spacing w:line="360" w:lineRule="auto"/>
        <w:ind w:firstLine="480"/>
        <w:rPr>
          <w:sz w:val="24"/>
        </w:rPr>
      </w:pPr>
      <w:r>
        <w:rPr>
          <w:sz w:val="24"/>
        </w:rPr>
        <w:t>（3）有下列情形之一的，属于招标人与投标人串通投标：</w:t>
      </w:r>
    </w:p>
    <w:p>
      <w:pPr>
        <w:spacing w:line="360" w:lineRule="auto"/>
        <w:ind w:firstLine="480"/>
        <w:rPr>
          <w:sz w:val="24"/>
        </w:rPr>
      </w:pPr>
      <w:r>
        <w:rPr>
          <w:rFonts w:hint="eastAsia" w:ascii="宋体" w:hAnsi="宋体" w:cs="宋体"/>
          <w:sz w:val="24"/>
        </w:rPr>
        <w:t>①</w:t>
      </w:r>
      <w:r>
        <w:rPr>
          <w:sz w:val="24"/>
        </w:rPr>
        <w:t>招标人在开标前开启投标文件并将有关信息泄露给其他投标人；</w:t>
      </w:r>
    </w:p>
    <w:p>
      <w:pPr>
        <w:spacing w:line="360" w:lineRule="auto"/>
        <w:ind w:firstLine="480"/>
        <w:rPr>
          <w:sz w:val="24"/>
        </w:rPr>
      </w:pPr>
      <w:r>
        <w:rPr>
          <w:rFonts w:hint="eastAsia" w:ascii="宋体" w:hAnsi="宋体" w:cs="宋体"/>
          <w:sz w:val="24"/>
        </w:rPr>
        <w:t>②</w:t>
      </w:r>
      <w:r>
        <w:rPr>
          <w:sz w:val="24"/>
        </w:rPr>
        <w:t>招标人直接或间接向投标人泄露标底、评标委员会成员等信息；</w:t>
      </w:r>
    </w:p>
    <w:p>
      <w:pPr>
        <w:spacing w:line="360" w:lineRule="auto"/>
        <w:ind w:firstLine="480"/>
        <w:rPr>
          <w:sz w:val="24"/>
        </w:rPr>
      </w:pPr>
      <w:r>
        <w:rPr>
          <w:rFonts w:hint="eastAsia" w:ascii="宋体" w:hAnsi="宋体" w:cs="宋体"/>
          <w:sz w:val="24"/>
        </w:rPr>
        <w:t>③</w:t>
      </w:r>
      <w:r>
        <w:rPr>
          <w:sz w:val="24"/>
        </w:rPr>
        <w:t>招标人明示或暗示投标人压低或抬高投标报价；</w:t>
      </w:r>
    </w:p>
    <w:p>
      <w:pPr>
        <w:spacing w:line="360" w:lineRule="auto"/>
        <w:ind w:firstLine="480"/>
        <w:rPr>
          <w:sz w:val="24"/>
        </w:rPr>
      </w:pPr>
      <w:r>
        <w:rPr>
          <w:rFonts w:hint="eastAsia" w:ascii="宋体" w:hAnsi="宋体" w:cs="宋体"/>
          <w:sz w:val="24"/>
        </w:rPr>
        <w:t>④</w:t>
      </w:r>
      <w:r>
        <w:rPr>
          <w:sz w:val="24"/>
        </w:rPr>
        <w:t>招标人授意投标人撤换、修改投标文件；</w:t>
      </w:r>
    </w:p>
    <w:p>
      <w:pPr>
        <w:spacing w:line="360" w:lineRule="auto"/>
        <w:ind w:firstLine="480"/>
        <w:rPr>
          <w:sz w:val="24"/>
        </w:rPr>
      </w:pPr>
      <w:r>
        <w:rPr>
          <w:rFonts w:hint="eastAsia" w:ascii="宋体" w:hAnsi="宋体" w:cs="宋体"/>
          <w:sz w:val="24"/>
        </w:rPr>
        <w:t>⑤</w:t>
      </w:r>
      <w:r>
        <w:rPr>
          <w:sz w:val="24"/>
        </w:rPr>
        <w:t>招标人明示或暗示投标人为特定投标人中标提供方便；</w:t>
      </w:r>
    </w:p>
    <w:p>
      <w:pPr>
        <w:spacing w:line="360" w:lineRule="auto"/>
        <w:ind w:firstLine="480"/>
        <w:rPr>
          <w:sz w:val="24"/>
        </w:rPr>
      </w:pPr>
      <w:r>
        <w:rPr>
          <w:rFonts w:hint="eastAsia" w:ascii="宋体" w:hAnsi="宋体" w:cs="宋体"/>
          <w:sz w:val="24"/>
        </w:rPr>
        <w:t>⑥</w:t>
      </w:r>
      <w:r>
        <w:rPr>
          <w:sz w:val="24"/>
        </w:rPr>
        <w:t>招标人与投标人为谋求特定投标人中标而采取的其他串通行为。</w:t>
      </w:r>
    </w:p>
    <w:p>
      <w:pPr>
        <w:spacing w:line="360" w:lineRule="auto"/>
        <w:ind w:firstLine="480"/>
        <w:rPr>
          <w:sz w:val="24"/>
        </w:rPr>
      </w:pPr>
      <w:r>
        <w:rPr>
          <w:sz w:val="24"/>
        </w:rPr>
        <w:t>（4）投标人有下列情形之一的，属于弄虚作假的行为：</w:t>
      </w:r>
    </w:p>
    <w:p>
      <w:pPr>
        <w:spacing w:line="360" w:lineRule="auto"/>
        <w:ind w:firstLine="480"/>
        <w:rPr>
          <w:sz w:val="24"/>
        </w:rPr>
      </w:pPr>
      <w:r>
        <w:rPr>
          <w:rFonts w:hint="eastAsia" w:ascii="宋体" w:hAnsi="宋体" w:cs="宋体"/>
          <w:sz w:val="24"/>
        </w:rPr>
        <w:t>①</w:t>
      </w:r>
      <w:r>
        <w:rPr>
          <w:sz w:val="24"/>
        </w:rPr>
        <w:t>使用通过受让或租借等方式获取的资格、资质证书投标；</w:t>
      </w:r>
    </w:p>
    <w:p>
      <w:pPr>
        <w:spacing w:line="360" w:lineRule="auto"/>
        <w:ind w:firstLine="480"/>
        <w:rPr>
          <w:sz w:val="24"/>
        </w:rPr>
      </w:pPr>
      <w:r>
        <w:rPr>
          <w:rFonts w:hint="eastAsia" w:ascii="宋体" w:hAnsi="宋体" w:cs="宋体"/>
          <w:sz w:val="24"/>
        </w:rPr>
        <w:t>②</w:t>
      </w:r>
      <w:r>
        <w:rPr>
          <w:sz w:val="24"/>
        </w:rPr>
        <w:t>使用伪造、变造的许可证件；</w:t>
      </w:r>
    </w:p>
    <w:p>
      <w:pPr>
        <w:spacing w:line="360" w:lineRule="auto"/>
        <w:ind w:firstLine="480"/>
        <w:rPr>
          <w:sz w:val="24"/>
        </w:rPr>
      </w:pPr>
      <w:r>
        <w:rPr>
          <w:rFonts w:hint="eastAsia" w:ascii="宋体" w:hAnsi="宋体" w:cs="宋体"/>
          <w:sz w:val="24"/>
        </w:rPr>
        <w:t>③</w:t>
      </w:r>
      <w:r>
        <w:rPr>
          <w:sz w:val="24"/>
        </w:rPr>
        <w:t>提供虚假的财务状况或业绩；</w:t>
      </w:r>
    </w:p>
    <w:p>
      <w:pPr>
        <w:spacing w:line="360" w:lineRule="auto"/>
        <w:ind w:firstLine="480"/>
        <w:rPr>
          <w:sz w:val="24"/>
        </w:rPr>
      </w:pPr>
      <w:r>
        <w:rPr>
          <w:rFonts w:hint="eastAsia" w:ascii="宋体" w:hAnsi="宋体" w:cs="宋体"/>
          <w:sz w:val="24"/>
        </w:rPr>
        <w:t>④</w:t>
      </w:r>
      <w:r>
        <w:rPr>
          <w:sz w:val="24"/>
        </w:rPr>
        <w:t>提供虚假的项目经理或主要技术人员简历、劳动关系证明；</w:t>
      </w:r>
    </w:p>
    <w:p>
      <w:pPr>
        <w:spacing w:line="360" w:lineRule="auto"/>
        <w:ind w:firstLine="480"/>
        <w:rPr>
          <w:sz w:val="24"/>
        </w:rPr>
      </w:pPr>
      <w:r>
        <w:rPr>
          <w:rFonts w:hint="eastAsia" w:ascii="宋体" w:hAnsi="宋体" w:cs="宋体"/>
          <w:sz w:val="24"/>
        </w:rPr>
        <w:t>⑤</w:t>
      </w:r>
      <w:r>
        <w:rPr>
          <w:sz w:val="24"/>
        </w:rPr>
        <w:t>提供虚假的信用状况；</w:t>
      </w:r>
    </w:p>
    <w:p>
      <w:pPr>
        <w:spacing w:line="360" w:lineRule="auto"/>
        <w:ind w:firstLine="480"/>
        <w:rPr>
          <w:sz w:val="24"/>
        </w:rPr>
      </w:pPr>
      <w:r>
        <w:rPr>
          <w:rFonts w:hint="eastAsia" w:ascii="宋体" w:hAnsi="宋体" w:cs="宋体"/>
          <w:sz w:val="24"/>
        </w:rPr>
        <w:t>⑥</w:t>
      </w:r>
      <w:r>
        <w:rPr>
          <w:sz w:val="24"/>
        </w:rPr>
        <w:t>其他弄虚作假的行为。</w:t>
      </w:r>
    </w:p>
    <w:p>
      <w:pPr>
        <w:spacing w:line="360" w:lineRule="auto"/>
        <w:ind w:firstLine="480"/>
        <w:rPr>
          <w:sz w:val="24"/>
        </w:rPr>
      </w:pPr>
      <w:r>
        <w:rPr>
          <w:sz w:val="24"/>
        </w:rPr>
        <w:t>2.在评标过程中，评标委员会应查询交</w:t>
      </w:r>
      <w:r>
        <w:rPr>
          <w:rFonts w:hint="eastAsia" w:ascii="宋体" w:hAnsi="宋体" w:cs="宋体"/>
          <w:sz w:val="24"/>
        </w:rPr>
        <w:t>通运输主管部门“</w:t>
      </w:r>
      <w:r>
        <w:rPr>
          <w:rFonts w:hint="eastAsia" w:ascii="宋体" w:hAnsi="宋体" w:cs="宋体"/>
          <w:sz w:val="24"/>
          <w:lang w:eastAsia="zh-CN"/>
        </w:rPr>
        <w:t>公路建设市场信用信息管理系统</w:t>
      </w:r>
      <w:r>
        <w:rPr>
          <w:rFonts w:hint="eastAsia" w:ascii="宋体" w:hAnsi="宋体" w:cs="宋体"/>
          <w:sz w:val="24"/>
        </w:rPr>
        <w:t>”，对投标人的资质、业绩、主要人员资历和目前在岗情况、信用等级等信息进行核实。若投标文件载明的信息与交通运输主管部门“</w:t>
      </w:r>
      <w:r>
        <w:rPr>
          <w:rFonts w:hint="eastAsia" w:ascii="宋体" w:hAnsi="宋体" w:cs="宋体"/>
          <w:sz w:val="24"/>
          <w:lang w:eastAsia="zh-CN"/>
        </w:rPr>
        <w:t>公路建设市场信用信息管理系统</w:t>
      </w:r>
      <w:r>
        <w:rPr>
          <w:rFonts w:hint="eastAsia" w:ascii="宋体" w:hAnsi="宋体" w:cs="宋体"/>
          <w:sz w:val="24"/>
        </w:rPr>
        <w:t>”发布的信息不符，使得投标</w:t>
      </w:r>
      <w:r>
        <w:rPr>
          <w:sz w:val="24"/>
        </w:rPr>
        <w:t>人的资格条件不符合招标文件规定的，评标委员会应否决其投标。</w:t>
      </w:r>
    </w:p>
    <w:p>
      <w:pPr>
        <w:widowControl/>
        <w:ind w:firstLine="0" w:firstLineChars="0"/>
        <w:jc w:val="left"/>
        <w:rPr>
          <w:sz w:val="24"/>
          <w:u w:val="single"/>
        </w:rPr>
      </w:pPr>
      <w:bookmarkStart w:id="438" w:name="_Toc138689411"/>
      <w:r>
        <w:rPr>
          <w:sz w:val="24"/>
          <w:u w:val="single"/>
        </w:rPr>
        <w:br w:type="page"/>
      </w:r>
    </w:p>
    <w:p>
      <w:pPr>
        <w:keepNext/>
        <w:keepLines/>
        <w:widowControl/>
        <w:spacing w:beforeLines="100" w:afterLines="100"/>
        <w:ind w:firstLine="0" w:firstLineChars="0"/>
        <w:jc w:val="center"/>
        <w:outlineLvl w:val="2"/>
        <w:rPr>
          <w:rFonts w:eastAsia="黑体"/>
          <w:sz w:val="24"/>
          <w:szCs w:val="32"/>
        </w:rPr>
      </w:pPr>
      <w:r>
        <w:rPr>
          <w:rFonts w:eastAsia="黑体"/>
          <w:sz w:val="24"/>
          <w:szCs w:val="32"/>
        </w:rPr>
        <w:t>附件3：异常低价评审</w:t>
      </w:r>
      <w:bookmarkEnd w:id="438"/>
    </w:p>
    <w:p>
      <w:pPr>
        <w:spacing w:line="360" w:lineRule="auto"/>
        <w:ind w:firstLine="480"/>
        <w:rPr>
          <w:sz w:val="24"/>
        </w:rPr>
      </w:pPr>
      <w:r>
        <w:rPr>
          <w:sz w:val="24"/>
        </w:rPr>
        <w:t>评标委员会在推荐中标候选人前，对拟推荐中标候选人的投标报价进行异常低价评审</w:t>
      </w:r>
      <w:r>
        <w:rPr>
          <w:rFonts w:hint="eastAsia"/>
          <w:b/>
          <w:sz w:val="24"/>
        </w:rPr>
        <w:t>（本招标项目</w:t>
      </w:r>
      <w:r>
        <w:rPr>
          <w:b/>
          <w:sz w:val="24"/>
        </w:rPr>
        <w:t>是否执行异常低价评审见评标办法前附表</w:t>
      </w:r>
      <w:r>
        <w:rPr>
          <w:rFonts w:hint="eastAsia"/>
          <w:b/>
          <w:sz w:val="24"/>
        </w:rPr>
        <w:t>）</w:t>
      </w:r>
      <w:r>
        <w:rPr>
          <w:sz w:val="24"/>
        </w:rPr>
        <w:t>，具体要求如下：</w:t>
      </w:r>
    </w:p>
    <w:p>
      <w:pPr>
        <w:spacing w:line="360" w:lineRule="auto"/>
        <w:ind w:firstLine="480"/>
        <w:rPr>
          <w:sz w:val="24"/>
        </w:rPr>
      </w:pPr>
      <w:r>
        <w:rPr>
          <w:sz w:val="24"/>
        </w:rPr>
        <w:t>（1）评审要求：投标人投标总报价低于</w:t>
      </w:r>
      <w:r>
        <w:rPr>
          <w:rFonts w:hint="eastAsia"/>
          <w:sz w:val="24"/>
        </w:rPr>
        <w:t>最高投标限价</w:t>
      </w:r>
      <w:r>
        <w:rPr>
          <w:sz w:val="24"/>
        </w:rPr>
        <w:t>的异常低价规定指标（见评标办法前附表）且低于评标价平均值的异常低价规定指标（见评标办法前附表）的，评标委员会将进行异常低价评审。</w:t>
      </w:r>
    </w:p>
    <w:p>
      <w:pPr>
        <w:spacing w:line="360" w:lineRule="auto"/>
        <w:ind w:firstLine="480"/>
        <w:rPr>
          <w:sz w:val="24"/>
        </w:rPr>
      </w:pPr>
      <w:r>
        <w:rPr>
          <w:sz w:val="24"/>
        </w:rPr>
        <w:t>（2）证明材料要求：投标人须在投标文件报价文件中作出澄清或者说明，并提供降低工程造价的相关证明</w:t>
      </w:r>
      <w:r>
        <w:rPr>
          <w:rFonts w:hint="eastAsia"/>
          <w:sz w:val="24"/>
        </w:rPr>
        <w:t>材</w:t>
      </w:r>
      <w:r>
        <w:rPr>
          <w:sz w:val="24"/>
        </w:rPr>
        <w:t>料（不限于在人工、材料、机械消耗量、价格、施工措施、方案及其他方面）；同时提供关于合同履行能力及工程质量安全控制的承诺。</w:t>
      </w:r>
    </w:p>
    <w:p>
      <w:pPr>
        <w:spacing w:line="360" w:lineRule="auto"/>
        <w:ind w:firstLine="480"/>
        <w:rPr>
          <w:sz w:val="24"/>
        </w:rPr>
      </w:pPr>
      <w:r>
        <w:rPr>
          <w:sz w:val="24"/>
        </w:rPr>
        <w:t>（3）以下情形不得作为异常低价投标说明的依据：</w:t>
      </w:r>
    </w:p>
    <w:p>
      <w:pPr>
        <w:spacing w:line="360" w:lineRule="auto"/>
        <w:ind w:firstLine="480"/>
        <w:rPr>
          <w:sz w:val="24"/>
        </w:rPr>
      </w:pPr>
      <w:r>
        <w:rPr>
          <w:rFonts w:hint="eastAsia" w:ascii="宋体" w:hAnsi="宋体" w:cs="宋体"/>
          <w:sz w:val="24"/>
        </w:rPr>
        <w:t>①</w:t>
      </w:r>
      <w:r>
        <w:rPr>
          <w:sz w:val="24"/>
        </w:rPr>
        <w:t>机械、材料</w:t>
      </w:r>
      <w:r>
        <w:rPr>
          <w:rFonts w:hint="eastAsia"/>
          <w:sz w:val="24"/>
        </w:rPr>
        <w:t>、设备</w:t>
      </w:r>
      <w:r>
        <w:rPr>
          <w:sz w:val="24"/>
        </w:rPr>
        <w:t>自有或闲置；</w:t>
      </w:r>
    </w:p>
    <w:p>
      <w:pPr>
        <w:spacing w:line="360" w:lineRule="auto"/>
        <w:ind w:firstLine="480"/>
        <w:rPr>
          <w:sz w:val="24"/>
        </w:rPr>
      </w:pPr>
      <w:r>
        <w:rPr>
          <w:rFonts w:hint="eastAsia" w:ascii="宋体" w:hAnsi="宋体" w:cs="宋体"/>
          <w:sz w:val="24"/>
        </w:rPr>
        <w:t>②</w:t>
      </w:r>
      <w:r>
        <w:rPr>
          <w:sz w:val="24"/>
        </w:rPr>
        <w:t>自有弃土场土源或与邻近项目签订的土方倒运协议；</w:t>
      </w:r>
    </w:p>
    <w:p>
      <w:pPr>
        <w:spacing w:line="360" w:lineRule="auto"/>
        <w:ind w:firstLine="480"/>
        <w:rPr>
          <w:sz w:val="24"/>
        </w:rPr>
      </w:pPr>
      <w:r>
        <w:rPr>
          <w:rFonts w:hint="eastAsia" w:ascii="宋体" w:hAnsi="宋体" w:cs="宋体"/>
          <w:sz w:val="24"/>
        </w:rPr>
        <w:t>③</w:t>
      </w:r>
      <w:r>
        <w:rPr>
          <w:sz w:val="24"/>
        </w:rPr>
        <w:t>人员闲置；</w:t>
      </w:r>
    </w:p>
    <w:p>
      <w:pPr>
        <w:spacing w:line="360" w:lineRule="auto"/>
        <w:ind w:firstLine="480"/>
        <w:rPr>
          <w:sz w:val="24"/>
        </w:rPr>
      </w:pPr>
      <w:r>
        <w:rPr>
          <w:rFonts w:hint="eastAsia" w:ascii="宋体" w:hAnsi="宋体" w:cs="宋体"/>
          <w:sz w:val="24"/>
        </w:rPr>
        <w:t>④</w:t>
      </w:r>
      <w:r>
        <w:rPr>
          <w:sz w:val="24"/>
        </w:rPr>
        <w:t>亏本让利；</w:t>
      </w:r>
    </w:p>
    <w:p>
      <w:pPr>
        <w:spacing w:line="360" w:lineRule="auto"/>
        <w:ind w:firstLine="480"/>
        <w:rPr>
          <w:sz w:val="24"/>
        </w:rPr>
      </w:pPr>
      <w:r>
        <w:rPr>
          <w:rFonts w:hint="eastAsia" w:ascii="宋体" w:hAnsi="宋体" w:cs="宋体"/>
          <w:sz w:val="24"/>
        </w:rPr>
        <w:t>⑤</w:t>
      </w:r>
      <w:r>
        <w:rPr>
          <w:sz w:val="24"/>
        </w:rPr>
        <w:sym w:font="Wingdings 2" w:char="00A3"/>
      </w:r>
      <w:r>
        <w:rPr>
          <w:sz w:val="24"/>
        </w:rPr>
        <w:t>企业市场拓展或品牌宣传；</w:t>
      </w:r>
      <w:r>
        <w:rPr>
          <w:sz w:val="24"/>
        </w:rPr>
        <w:sym w:font="Wingdings 2" w:char="00A3"/>
      </w:r>
      <w:r>
        <w:rPr>
          <w:rFonts w:hint="eastAsia"/>
          <w:sz w:val="24"/>
        </w:rPr>
        <w:t>设备设施生产厂家市场拓展或品牌宣传；</w:t>
      </w:r>
    </w:p>
    <w:p>
      <w:pPr>
        <w:spacing w:line="360" w:lineRule="auto"/>
        <w:ind w:firstLine="480"/>
        <w:rPr>
          <w:sz w:val="24"/>
        </w:rPr>
      </w:pPr>
      <w:r>
        <w:rPr>
          <w:rFonts w:hint="eastAsia" w:ascii="宋体" w:hAnsi="宋体" w:cs="宋体"/>
          <w:sz w:val="24"/>
        </w:rPr>
        <w:t>⑥</w:t>
      </w:r>
      <w:r>
        <w:rPr>
          <w:sz w:val="24"/>
        </w:rPr>
        <w:sym w:font="Wingdings 2" w:char="00A3"/>
      </w:r>
      <w:r>
        <w:rPr>
          <w:sz w:val="24"/>
        </w:rPr>
        <w:t>降低或改变原设计方案、技术工艺、施工标准的；</w:t>
      </w:r>
    </w:p>
    <w:p>
      <w:pPr>
        <w:spacing w:line="360" w:lineRule="auto"/>
        <w:ind w:firstLine="480"/>
        <w:rPr>
          <w:sz w:val="24"/>
        </w:rPr>
      </w:pPr>
      <w:r>
        <w:rPr>
          <w:rFonts w:hint="eastAsia" w:ascii="宋体" w:hAnsi="宋体" w:cs="宋体"/>
          <w:sz w:val="24"/>
        </w:rPr>
        <w:t>⑦</w:t>
      </w:r>
      <w:r>
        <w:rPr>
          <w:sz w:val="24"/>
        </w:rPr>
        <w:t>类似项目业绩；</w:t>
      </w:r>
    </w:p>
    <w:p>
      <w:pPr>
        <w:spacing w:line="360" w:lineRule="auto"/>
        <w:ind w:firstLine="480"/>
        <w:rPr>
          <w:sz w:val="24"/>
        </w:rPr>
      </w:pPr>
      <w:r>
        <w:rPr>
          <w:rFonts w:hint="eastAsia" w:ascii="宋体" w:hAnsi="宋体" w:cs="宋体"/>
          <w:sz w:val="24"/>
        </w:rPr>
        <w:t>⑧</w:t>
      </w:r>
      <w:r>
        <w:rPr>
          <w:sz w:val="24"/>
        </w:rPr>
        <w:t>评标委员会认为不得作为降低投标报价依据的情形。</w:t>
      </w:r>
    </w:p>
    <w:p>
      <w:pPr>
        <w:spacing w:line="360" w:lineRule="auto"/>
        <w:ind w:firstLine="480"/>
        <w:rPr>
          <w:sz w:val="24"/>
        </w:rPr>
      </w:pPr>
      <w:r>
        <w:rPr>
          <w:sz w:val="24"/>
        </w:rPr>
        <w:t>（4）评审标准：评标委员会对通过评审的异常低价中标候选人合同履行能力及工程质量安全等风险进行全面评估，并作为评标结果的附件提交给招标人。投标人在投标文件中未作出有效澄清、说明或评标委员会认定（</w:t>
      </w:r>
      <w:r>
        <w:rPr>
          <w:rFonts w:hint="eastAsia"/>
          <w:sz w:val="24"/>
        </w:rPr>
        <w:t>按照</w:t>
      </w:r>
      <w:r>
        <w:rPr>
          <w:sz w:val="24"/>
        </w:rPr>
        <w:t>少数服从多数的原则）其存在履约及质量安全风险的，评标委员会应否决其投标，不推荐其为中标候选人。</w:t>
      </w:r>
    </w:p>
    <w:p>
      <w:pPr>
        <w:widowControl/>
        <w:ind w:firstLine="0" w:firstLineChars="0"/>
        <w:jc w:val="left"/>
        <w:rPr>
          <w:sz w:val="24"/>
        </w:rPr>
      </w:pPr>
      <w:r>
        <w:rPr>
          <w:sz w:val="24"/>
        </w:rPr>
        <w:br w:type="page"/>
      </w:r>
    </w:p>
    <w:p>
      <w:pPr>
        <w:keepNext/>
        <w:keepLines/>
        <w:spacing w:beforeLines="100" w:afterLines="100"/>
        <w:ind w:firstLine="0" w:firstLineChars="0"/>
        <w:jc w:val="left"/>
        <w:outlineLvl w:val="1"/>
        <w:rPr>
          <w:rFonts w:eastAsia="黑体"/>
          <w:sz w:val="32"/>
          <w:szCs w:val="32"/>
        </w:rPr>
      </w:pPr>
      <w:bookmarkStart w:id="439" w:name="_Toc138689412"/>
      <w:bookmarkStart w:id="440" w:name="_Toc12770"/>
      <w:r>
        <w:rPr>
          <w:rFonts w:eastAsia="黑体"/>
          <w:sz w:val="32"/>
          <w:szCs w:val="32"/>
        </w:rPr>
        <w:t>1. 评标方法</w:t>
      </w:r>
      <w:bookmarkEnd w:id="439"/>
      <w:bookmarkEnd w:id="440"/>
    </w:p>
    <w:p>
      <w:pPr>
        <w:spacing w:line="360" w:lineRule="auto"/>
        <w:ind w:firstLine="480"/>
        <w:rPr>
          <w:sz w:val="24"/>
        </w:rPr>
      </w:pPr>
      <w:r>
        <w:rPr>
          <w:sz w:val="24"/>
        </w:rPr>
        <w:t>1.1本次评标采用技术评分最低标价法。</w:t>
      </w:r>
    </w:p>
    <w:p>
      <w:pPr>
        <w:spacing w:line="360" w:lineRule="auto"/>
        <w:ind w:firstLine="480"/>
        <w:rPr>
          <w:sz w:val="24"/>
        </w:rPr>
      </w:pPr>
      <w:r>
        <w:rPr>
          <w:sz w:val="24"/>
        </w:rPr>
        <w:t>1.2评标委员会对满足招标文件实质性要求的投标文件，按照本章第2.2款规定的评分标准进行评分。</w:t>
      </w:r>
    </w:p>
    <w:p>
      <w:pPr>
        <w:spacing w:line="360" w:lineRule="auto"/>
        <w:ind w:firstLine="480"/>
        <w:rPr>
          <w:rFonts w:ascii="宋体" w:hAnsi="宋体" w:cs="宋体"/>
          <w:sz w:val="24"/>
        </w:rPr>
      </w:pPr>
      <w:r>
        <w:rPr>
          <w:sz w:val="24"/>
        </w:rPr>
        <w:t>1.3</w:t>
      </w:r>
      <w:r>
        <w:rPr>
          <w:rFonts w:hint="eastAsia"/>
          <w:sz w:val="24"/>
        </w:rPr>
        <w:t>评标委员会</w:t>
      </w:r>
      <w:r>
        <w:rPr>
          <w:rFonts w:hint="eastAsia"/>
          <w:sz w:val="24"/>
          <w:lang w:val="en-US" w:eastAsia="zh-CN"/>
        </w:rPr>
        <w:t>按照</w:t>
      </w:r>
      <w:r>
        <w:rPr>
          <w:rFonts w:hint="eastAsia"/>
          <w:sz w:val="24"/>
        </w:rPr>
        <w:t>得分由高到低</w:t>
      </w:r>
      <w:r>
        <w:rPr>
          <w:rFonts w:hint="eastAsia"/>
          <w:sz w:val="24"/>
          <w:lang w:val="en-US" w:eastAsia="zh-CN"/>
        </w:rPr>
        <w:t>排序</w:t>
      </w:r>
      <w:r>
        <w:rPr>
          <w:rFonts w:hint="eastAsia"/>
          <w:sz w:val="24"/>
        </w:rPr>
        <w:t>，对排名在招标文件规定数量以内的投标人的报价文件进行评审</w:t>
      </w:r>
      <w:r>
        <w:rPr>
          <w:rFonts w:hint="eastAsia"/>
          <w:sz w:val="24"/>
          <w:lang w:eastAsia="zh-CN"/>
        </w:rPr>
        <w:t>，</w:t>
      </w:r>
      <w:r>
        <w:rPr>
          <w:rFonts w:hint="eastAsia"/>
          <w:sz w:val="24"/>
          <w:lang w:val="en-US" w:eastAsia="zh-CN"/>
        </w:rPr>
        <w:t>按照评标价由低到高的顺序推荐中标候选人</w:t>
      </w:r>
      <w:r>
        <w:rPr>
          <w:rFonts w:hint="eastAsia"/>
          <w:sz w:val="24"/>
        </w:rPr>
        <w:t>，</w:t>
      </w:r>
      <w:r>
        <w:rPr>
          <w:rFonts w:hint="eastAsia"/>
          <w:sz w:val="24"/>
          <w:lang w:val="en-US" w:eastAsia="zh-CN"/>
        </w:rPr>
        <w:t>评标价相同</w:t>
      </w:r>
      <w:r>
        <w:rPr>
          <w:rFonts w:hint="eastAsia"/>
          <w:sz w:val="24"/>
        </w:rPr>
        <w:t>时，中标候选人排序方法见评标办法前附表；或根据招标人授权直接确定中标人。不得推荐为中标候选人、确定为中标人的情形见本章第3.7款、第3.</w:t>
      </w:r>
      <w:r>
        <w:rPr>
          <w:rFonts w:hint="eastAsia"/>
          <w:sz w:val="24"/>
          <w:lang w:val="en-US" w:eastAsia="zh-CN"/>
        </w:rPr>
        <w:t>9</w:t>
      </w:r>
      <w:r>
        <w:rPr>
          <w:rFonts w:hint="eastAsia"/>
          <w:sz w:val="24"/>
        </w:rPr>
        <w:t>.1项</w:t>
      </w:r>
      <w:r>
        <w:rPr>
          <w:rFonts w:ascii="宋体" w:hAnsi="宋体" w:cs="宋体"/>
          <w:sz w:val="24"/>
        </w:rPr>
        <w:t>。</w:t>
      </w:r>
    </w:p>
    <w:p>
      <w:pPr>
        <w:spacing w:line="360" w:lineRule="auto"/>
        <w:ind w:firstLine="480"/>
        <w:rPr>
          <w:sz w:val="24"/>
        </w:rPr>
      </w:pPr>
      <w:r>
        <w:rPr>
          <w:sz w:val="24"/>
        </w:rPr>
        <w:t>1.4本次评标的先后顺序及最多可中标段数量见评标办法前附表。被推荐为第一中标候选人的标段个数已达到最多允许中标的标段个数的投标人，在后续标段不再被推荐为中标候选人，但仍参与评审。</w:t>
      </w:r>
    </w:p>
    <w:p>
      <w:pPr>
        <w:spacing w:line="360" w:lineRule="auto"/>
        <w:ind w:firstLine="480"/>
        <w:rPr>
          <w:sz w:val="24"/>
        </w:rPr>
      </w:pPr>
      <w:r>
        <w:rPr>
          <w:sz w:val="24"/>
        </w:rPr>
        <w:t>1.5评标结束后如有某标段的第一中标候选人发生变化的情况，不影响其他标段排序。</w:t>
      </w:r>
    </w:p>
    <w:p>
      <w:pPr>
        <w:spacing w:line="360" w:lineRule="auto"/>
        <w:ind w:firstLine="480"/>
        <w:rPr>
          <w:sz w:val="24"/>
        </w:rPr>
      </w:pPr>
      <w:r>
        <w:rPr>
          <w:sz w:val="24"/>
        </w:rPr>
        <w:t>1.6招标人</w:t>
      </w:r>
      <w:r>
        <w:rPr>
          <w:rFonts w:hint="eastAsia"/>
          <w:sz w:val="24"/>
        </w:rPr>
        <w:t>应当</w:t>
      </w:r>
      <w:r>
        <w:rPr>
          <w:sz w:val="24"/>
        </w:rPr>
        <w:t>根据项目的实际情况，在评标办法正文及前附表中列明所有否决投标的情形；第三</w:t>
      </w:r>
      <w:r>
        <w:rPr>
          <w:rFonts w:hint="eastAsia" w:ascii="宋体" w:hAnsi="宋体" w:cs="宋体"/>
          <w:sz w:val="24"/>
        </w:rPr>
        <w:t>章“评标办法”没</w:t>
      </w:r>
      <w:r>
        <w:rPr>
          <w:sz w:val="24"/>
        </w:rPr>
        <w:t>有列明的否决投标的情形，一律不得作为评审依据。</w:t>
      </w:r>
    </w:p>
    <w:p>
      <w:pPr>
        <w:keepNext/>
        <w:keepLines/>
        <w:snapToGrid w:val="0"/>
        <w:spacing w:beforeLines="100" w:afterLines="100"/>
        <w:ind w:firstLine="0" w:firstLineChars="0"/>
        <w:jc w:val="left"/>
        <w:outlineLvl w:val="1"/>
        <w:rPr>
          <w:rFonts w:eastAsia="黑体"/>
          <w:sz w:val="32"/>
          <w:szCs w:val="32"/>
        </w:rPr>
      </w:pPr>
      <w:bookmarkStart w:id="441" w:name="_Toc138689413"/>
      <w:bookmarkStart w:id="442" w:name="_Toc6382"/>
      <w:r>
        <w:rPr>
          <w:rFonts w:eastAsia="黑体"/>
          <w:sz w:val="32"/>
          <w:szCs w:val="32"/>
        </w:rPr>
        <w:t>2. 评审标准</w:t>
      </w:r>
      <w:bookmarkEnd w:id="441"/>
      <w:bookmarkEnd w:id="442"/>
    </w:p>
    <w:p>
      <w:pPr>
        <w:keepNext/>
        <w:keepLines/>
        <w:snapToGrid w:val="0"/>
        <w:spacing w:beforeLines="100" w:afterLines="100"/>
        <w:ind w:firstLine="0" w:firstLineChars="0"/>
        <w:jc w:val="left"/>
        <w:outlineLvl w:val="2"/>
        <w:rPr>
          <w:rFonts w:eastAsia="黑体"/>
          <w:bCs/>
          <w:sz w:val="24"/>
          <w:szCs w:val="32"/>
        </w:rPr>
      </w:pPr>
      <w:bookmarkStart w:id="443" w:name="_Toc138689414"/>
      <w:r>
        <w:rPr>
          <w:rFonts w:eastAsia="黑体"/>
          <w:bCs/>
          <w:sz w:val="24"/>
          <w:szCs w:val="32"/>
        </w:rPr>
        <w:t>2.1 初步评审标准</w:t>
      </w:r>
      <w:bookmarkEnd w:id="443"/>
    </w:p>
    <w:p>
      <w:pPr>
        <w:spacing w:line="360" w:lineRule="auto"/>
        <w:ind w:firstLine="480"/>
        <w:rPr>
          <w:sz w:val="24"/>
        </w:rPr>
      </w:pPr>
      <w:r>
        <w:rPr>
          <w:sz w:val="24"/>
        </w:rPr>
        <w:t>2.1.1 形式评审标准：见评标办法前附表。</w:t>
      </w:r>
    </w:p>
    <w:p>
      <w:pPr>
        <w:spacing w:line="360" w:lineRule="auto"/>
        <w:ind w:firstLine="480"/>
        <w:rPr>
          <w:sz w:val="24"/>
        </w:rPr>
      </w:pPr>
      <w:r>
        <w:rPr>
          <w:sz w:val="24"/>
        </w:rPr>
        <w:t>2.1.2 资格评审标准：见评标办法前附表。</w:t>
      </w:r>
    </w:p>
    <w:p>
      <w:pPr>
        <w:spacing w:line="360" w:lineRule="auto"/>
        <w:ind w:firstLine="480"/>
        <w:rPr>
          <w:sz w:val="24"/>
        </w:rPr>
      </w:pPr>
      <w:r>
        <w:rPr>
          <w:sz w:val="24"/>
        </w:rPr>
        <w:t>2.1.3 响应性评审标准：见评标办法前附表。</w:t>
      </w:r>
    </w:p>
    <w:p>
      <w:pPr>
        <w:keepNext/>
        <w:keepLines/>
        <w:spacing w:beforeLines="100" w:afterLines="100"/>
        <w:ind w:firstLine="0" w:firstLineChars="0"/>
        <w:jc w:val="left"/>
        <w:outlineLvl w:val="2"/>
        <w:rPr>
          <w:rFonts w:eastAsia="黑体"/>
          <w:bCs/>
          <w:sz w:val="24"/>
          <w:szCs w:val="32"/>
        </w:rPr>
      </w:pPr>
      <w:bookmarkStart w:id="444" w:name="_Toc138689415"/>
      <w:r>
        <w:rPr>
          <w:rFonts w:eastAsia="黑体"/>
          <w:bCs/>
          <w:sz w:val="24"/>
          <w:szCs w:val="32"/>
        </w:rPr>
        <w:t xml:space="preserve">2.2 </w:t>
      </w:r>
      <w:r>
        <w:rPr>
          <w:rFonts w:hint="eastAsia" w:eastAsia="黑体"/>
          <w:bCs/>
          <w:sz w:val="24"/>
          <w:szCs w:val="32"/>
        </w:rPr>
        <w:t>详细</w:t>
      </w:r>
      <w:r>
        <w:rPr>
          <w:rFonts w:eastAsia="黑体"/>
          <w:bCs/>
          <w:sz w:val="24"/>
          <w:szCs w:val="32"/>
        </w:rPr>
        <w:t>评审标准</w:t>
      </w:r>
      <w:bookmarkEnd w:id="444"/>
    </w:p>
    <w:p>
      <w:pPr>
        <w:spacing w:line="360" w:lineRule="auto"/>
        <w:ind w:firstLine="480"/>
        <w:rPr>
          <w:sz w:val="24"/>
        </w:rPr>
      </w:pPr>
      <w:r>
        <w:rPr>
          <w:sz w:val="24"/>
        </w:rPr>
        <w:t>2.2.1商务文件和技术文件分值构成：见评标办法前附表。</w:t>
      </w:r>
    </w:p>
    <w:p>
      <w:pPr>
        <w:spacing w:line="360" w:lineRule="auto"/>
        <w:ind w:firstLine="480"/>
        <w:rPr>
          <w:sz w:val="24"/>
        </w:rPr>
      </w:pPr>
      <w:r>
        <w:rPr>
          <w:sz w:val="24"/>
        </w:rPr>
        <w:t>2.2.2评分标准：</w:t>
      </w:r>
    </w:p>
    <w:p>
      <w:pPr>
        <w:spacing w:line="360" w:lineRule="auto"/>
        <w:ind w:firstLine="480"/>
        <w:rPr>
          <w:sz w:val="24"/>
        </w:rPr>
      </w:pPr>
      <w:r>
        <w:rPr>
          <w:sz w:val="24"/>
        </w:rPr>
        <w:t>（1）技术文件评分标准：见评标办法前附表；</w:t>
      </w:r>
    </w:p>
    <w:p>
      <w:pPr>
        <w:spacing w:line="360" w:lineRule="auto"/>
        <w:ind w:firstLine="480"/>
        <w:rPr>
          <w:sz w:val="24"/>
        </w:rPr>
      </w:pPr>
      <w:r>
        <w:rPr>
          <w:sz w:val="24"/>
        </w:rPr>
        <w:t>（2）商务文件评分标准：见评标办法前附表</w:t>
      </w:r>
      <w:r>
        <w:rPr>
          <w:rFonts w:hint="eastAsia"/>
          <w:sz w:val="24"/>
        </w:rPr>
        <w:t>。</w:t>
      </w:r>
    </w:p>
    <w:p>
      <w:pPr>
        <w:spacing w:line="360" w:lineRule="auto"/>
        <w:ind w:firstLine="480"/>
        <w:rPr>
          <w:sz w:val="24"/>
        </w:rPr>
      </w:pPr>
      <w:r>
        <w:rPr>
          <w:sz w:val="24"/>
        </w:rPr>
        <w:t>2.2.3报价文件详细评审标准：见评标办法前附表。</w:t>
      </w:r>
    </w:p>
    <w:p>
      <w:pPr>
        <w:keepNext/>
        <w:keepLines/>
        <w:spacing w:beforeLines="100" w:afterLines="100"/>
        <w:ind w:firstLine="0" w:firstLineChars="0"/>
        <w:jc w:val="left"/>
        <w:outlineLvl w:val="1"/>
        <w:rPr>
          <w:rFonts w:eastAsia="黑体"/>
          <w:sz w:val="32"/>
          <w:szCs w:val="32"/>
        </w:rPr>
      </w:pPr>
      <w:bookmarkStart w:id="445" w:name="_Toc138689416"/>
      <w:bookmarkStart w:id="446" w:name="_Toc7521"/>
      <w:r>
        <w:rPr>
          <w:rFonts w:eastAsia="黑体"/>
          <w:sz w:val="32"/>
          <w:szCs w:val="32"/>
        </w:rPr>
        <w:t>3. 评标程序</w:t>
      </w:r>
      <w:bookmarkEnd w:id="445"/>
      <w:bookmarkEnd w:id="446"/>
    </w:p>
    <w:p>
      <w:pPr>
        <w:keepNext/>
        <w:keepLines/>
        <w:spacing w:beforeLines="100" w:afterLines="100"/>
        <w:ind w:firstLine="0" w:firstLineChars="0"/>
        <w:jc w:val="left"/>
        <w:outlineLvl w:val="2"/>
        <w:rPr>
          <w:rFonts w:eastAsia="黑体"/>
          <w:bCs/>
          <w:sz w:val="24"/>
          <w:szCs w:val="32"/>
        </w:rPr>
      </w:pPr>
      <w:bookmarkStart w:id="447" w:name="_Toc138689417"/>
      <w:r>
        <w:rPr>
          <w:rFonts w:eastAsia="黑体"/>
          <w:bCs/>
          <w:sz w:val="24"/>
          <w:szCs w:val="32"/>
        </w:rPr>
        <w:t>3.1 商务文件、技术文件初步评审</w:t>
      </w:r>
      <w:bookmarkEnd w:id="447"/>
    </w:p>
    <w:p>
      <w:pPr>
        <w:spacing w:line="360" w:lineRule="auto"/>
        <w:ind w:firstLine="480"/>
        <w:rPr>
          <w:sz w:val="24"/>
        </w:rPr>
      </w:pPr>
      <w:r>
        <w:rPr>
          <w:sz w:val="24"/>
        </w:rPr>
        <w:t>评标委员会依据本章第2.1.1项、第2.1.2项、第2.1.3项规定的</w:t>
      </w:r>
      <w:r>
        <w:rPr>
          <w:rFonts w:hint="eastAsia"/>
          <w:sz w:val="24"/>
        </w:rPr>
        <w:t>评审</w:t>
      </w:r>
      <w:r>
        <w:rPr>
          <w:sz w:val="24"/>
        </w:rPr>
        <w:t>标准对商务文件、技术文件进行</w:t>
      </w:r>
      <w:r>
        <w:rPr>
          <w:rFonts w:hint="eastAsia"/>
          <w:sz w:val="24"/>
        </w:rPr>
        <w:t>初步</w:t>
      </w:r>
      <w:r>
        <w:rPr>
          <w:sz w:val="24"/>
        </w:rPr>
        <w:t>评审。有一项不符合评审标准的，评标委员会应否决其投标。</w:t>
      </w:r>
    </w:p>
    <w:p>
      <w:pPr>
        <w:keepNext/>
        <w:keepLines/>
        <w:spacing w:beforeLines="100" w:afterLines="100"/>
        <w:ind w:firstLine="0" w:firstLineChars="0"/>
        <w:jc w:val="left"/>
        <w:outlineLvl w:val="2"/>
        <w:rPr>
          <w:rFonts w:eastAsia="黑体"/>
          <w:bCs/>
          <w:sz w:val="24"/>
          <w:szCs w:val="32"/>
        </w:rPr>
      </w:pPr>
      <w:bookmarkStart w:id="448" w:name="_Toc138689418"/>
      <w:r>
        <w:rPr>
          <w:rFonts w:eastAsia="黑体"/>
          <w:bCs/>
          <w:sz w:val="24"/>
          <w:szCs w:val="32"/>
        </w:rPr>
        <w:t>3.2 商务文件、技术文件详细评审</w:t>
      </w:r>
      <w:bookmarkEnd w:id="448"/>
    </w:p>
    <w:p>
      <w:pPr>
        <w:spacing w:line="360" w:lineRule="auto"/>
        <w:ind w:firstLine="480"/>
        <w:rPr>
          <w:snapToGrid w:val="0"/>
          <w:kern w:val="0"/>
          <w:sz w:val="24"/>
          <w:shd w:val="clear" w:color="auto" w:fill="FFFFFF"/>
          <w:lang w:val="zh-CN"/>
        </w:rPr>
      </w:pPr>
      <w:r>
        <w:rPr>
          <w:snapToGrid w:val="0"/>
          <w:kern w:val="0"/>
          <w:sz w:val="24"/>
          <w:shd w:val="clear" w:color="auto" w:fill="FFFFFF"/>
          <w:lang w:val="zh-CN"/>
        </w:rPr>
        <w:t xml:space="preserve">3.2.1 </w:t>
      </w:r>
      <w:r>
        <w:rPr>
          <w:sz w:val="24"/>
        </w:rPr>
        <w:t>评标委员会</w:t>
      </w:r>
      <w:r>
        <w:rPr>
          <w:rFonts w:hint="eastAsia"/>
          <w:sz w:val="24"/>
        </w:rPr>
        <w:t>按照</w:t>
      </w:r>
      <w:r>
        <w:rPr>
          <w:sz w:val="24"/>
        </w:rPr>
        <w:t>本章第</w:t>
      </w:r>
      <w:r>
        <w:rPr>
          <w:snapToGrid w:val="0"/>
          <w:kern w:val="0"/>
          <w:sz w:val="24"/>
          <w:shd w:val="clear" w:color="auto" w:fill="FFFFFF"/>
          <w:lang w:val="zh-CN"/>
        </w:rPr>
        <w:t>2.2款规定的量化因素和分值进行打分，并计算出各投标人的商务及技术得分。</w:t>
      </w:r>
    </w:p>
    <w:p>
      <w:pPr>
        <w:spacing w:line="360" w:lineRule="auto"/>
        <w:ind w:firstLine="480"/>
        <w:rPr>
          <w:sz w:val="24"/>
        </w:rPr>
      </w:pPr>
      <w:r>
        <w:rPr>
          <w:sz w:val="24"/>
        </w:rPr>
        <w:t>（1）</w:t>
      </w:r>
      <w:r>
        <w:rPr>
          <w:rFonts w:hint="eastAsia"/>
          <w:sz w:val="24"/>
        </w:rPr>
        <w:t>按照</w:t>
      </w:r>
      <w:r>
        <w:rPr>
          <w:sz w:val="24"/>
        </w:rPr>
        <w:t>本章第2.2.2（1）目规定的评审因素和分值计算出</w:t>
      </w:r>
      <w:r>
        <w:rPr>
          <w:rFonts w:hint="eastAsia"/>
          <w:sz w:val="24"/>
        </w:rPr>
        <w:t>技术文件</w:t>
      </w:r>
      <w:r>
        <w:rPr>
          <w:sz w:val="24"/>
        </w:rPr>
        <w:t>得分A；</w:t>
      </w:r>
    </w:p>
    <w:p>
      <w:pPr>
        <w:spacing w:line="360" w:lineRule="auto"/>
        <w:ind w:firstLine="480"/>
        <w:rPr>
          <w:sz w:val="24"/>
        </w:rPr>
      </w:pPr>
      <w:r>
        <w:rPr>
          <w:sz w:val="24"/>
        </w:rPr>
        <w:t>（2）</w:t>
      </w:r>
      <w:r>
        <w:rPr>
          <w:rFonts w:hint="eastAsia"/>
          <w:sz w:val="24"/>
        </w:rPr>
        <w:t>按照</w:t>
      </w:r>
      <w:r>
        <w:rPr>
          <w:sz w:val="24"/>
        </w:rPr>
        <w:t>本章第2.2.2（2）目规定的评审因素和分值计算出</w:t>
      </w:r>
      <w:r>
        <w:rPr>
          <w:rFonts w:hint="eastAsia"/>
          <w:sz w:val="24"/>
        </w:rPr>
        <w:t>商务文件</w:t>
      </w:r>
      <w:r>
        <w:rPr>
          <w:sz w:val="24"/>
        </w:rPr>
        <w:t>得分B</w:t>
      </w:r>
      <w:r>
        <w:rPr>
          <w:rFonts w:hint="eastAsia"/>
          <w:sz w:val="24"/>
        </w:rPr>
        <w:t>。</w:t>
      </w:r>
    </w:p>
    <w:p>
      <w:pPr>
        <w:spacing w:line="360" w:lineRule="auto"/>
        <w:ind w:firstLine="480"/>
        <w:rPr>
          <w:sz w:val="24"/>
        </w:rPr>
      </w:pPr>
      <w:r>
        <w:rPr>
          <w:sz w:val="24"/>
        </w:rPr>
        <w:t>3.2.2 得分计算的确定</w:t>
      </w:r>
    </w:p>
    <w:p>
      <w:pPr>
        <w:spacing w:line="360" w:lineRule="auto"/>
        <w:ind w:firstLine="480"/>
        <w:rPr>
          <w:sz w:val="24"/>
        </w:rPr>
      </w:pPr>
      <w:r>
        <w:rPr>
          <w:sz w:val="24"/>
        </w:rPr>
        <w:t>（</w:t>
      </w:r>
      <w:r>
        <w:rPr>
          <w:rFonts w:hint="eastAsia"/>
          <w:sz w:val="24"/>
        </w:rPr>
        <w:t>1</w:t>
      </w:r>
      <w:r>
        <w:rPr>
          <w:sz w:val="24"/>
        </w:rPr>
        <w:t>）技术文件详细评审得分计算</w:t>
      </w:r>
    </w:p>
    <w:p>
      <w:pPr>
        <w:spacing w:line="360" w:lineRule="auto"/>
        <w:ind w:firstLine="480"/>
        <w:rPr>
          <w:sz w:val="24"/>
        </w:rPr>
      </w:pPr>
      <w:r>
        <w:rPr>
          <w:sz w:val="24"/>
        </w:rPr>
        <w:t>本章第2.2.2（</w:t>
      </w:r>
      <w:r>
        <w:rPr>
          <w:rFonts w:hint="eastAsia"/>
          <w:sz w:val="24"/>
        </w:rPr>
        <w:t>1</w:t>
      </w:r>
      <w:r>
        <w:rPr>
          <w:sz w:val="24"/>
        </w:rPr>
        <w:t>）目属于技术文件详细评审内容，得分的计算见评标办法前附表。</w:t>
      </w:r>
    </w:p>
    <w:p>
      <w:pPr>
        <w:spacing w:line="360" w:lineRule="auto"/>
        <w:ind w:firstLine="480"/>
        <w:rPr>
          <w:sz w:val="24"/>
        </w:rPr>
      </w:pPr>
      <w:r>
        <w:rPr>
          <w:sz w:val="24"/>
        </w:rPr>
        <w:t>（</w:t>
      </w:r>
      <w:r>
        <w:rPr>
          <w:rFonts w:hint="eastAsia"/>
          <w:sz w:val="24"/>
        </w:rPr>
        <w:t>2</w:t>
      </w:r>
      <w:r>
        <w:rPr>
          <w:sz w:val="24"/>
        </w:rPr>
        <w:t>）商务文件详细评审得分计算</w:t>
      </w:r>
    </w:p>
    <w:p>
      <w:pPr>
        <w:spacing w:line="360" w:lineRule="auto"/>
        <w:ind w:firstLine="480"/>
        <w:rPr>
          <w:snapToGrid w:val="0"/>
          <w:kern w:val="0"/>
          <w:sz w:val="24"/>
          <w:shd w:val="clear" w:color="auto" w:fill="FFFFFF"/>
          <w:lang w:val="zh-CN"/>
        </w:rPr>
      </w:pPr>
      <w:r>
        <w:rPr>
          <w:sz w:val="24"/>
        </w:rPr>
        <w:t>本章第2.2.2（</w:t>
      </w:r>
      <w:r>
        <w:rPr>
          <w:rFonts w:hint="eastAsia"/>
          <w:sz w:val="24"/>
        </w:rPr>
        <w:t>2</w:t>
      </w:r>
      <w:r>
        <w:rPr>
          <w:sz w:val="24"/>
        </w:rPr>
        <w:t>）目属于商务文件详细评审内容</w:t>
      </w:r>
      <w:r>
        <w:rPr>
          <w:rFonts w:hint="eastAsia"/>
          <w:sz w:val="24"/>
        </w:rPr>
        <w:t>，</w:t>
      </w:r>
      <w:r>
        <w:rPr>
          <w:sz w:val="24"/>
        </w:rPr>
        <w:t>投标人第2.2.2项第（</w:t>
      </w:r>
      <w:r>
        <w:rPr>
          <w:rFonts w:hint="eastAsia"/>
          <w:sz w:val="24"/>
        </w:rPr>
        <w:t>2</w:t>
      </w:r>
      <w:r>
        <w:rPr>
          <w:sz w:val="24"/>
        </w:rPr>
        <w:t>）目得分以评标委员会各成员对该目的打分平均值确定。</w:t>
      </w:r>
    </w:p>
    <w:p>
      <w:pPr>
        <w:spacing w:line="360" w:lineRule="auto"/>
        <w:ind w:firstLine="480"/>
        <w:rPr>
          <w:snapToGrid w:val="0"/>
          <w:kern w:val="0"/>
          <w:sz w:val="24"/>
          <w:shd w:val="clear" w:color="auto" w:fill="FFFFFF"/>
          <w:lang w:val="zh-CN"/>
        </w:rPr>
      </w:pPr>
      <w:r>
        <w:rPr>
          <w:snapToGrid w:val="0"/>
          <w:kern w:val="0"/>
          <w:sz w:val="24"/>
          <w:shd w:val="clear" w:color="auto" w:fill="FFFFFF"/>
        </w:rPr>
        <w:t>3.2.3</w:t>
      </w:r>
      <w:r>
        <w:rPr>
          <w:rFonts w:hint="eastAsia"/>
          <w:snapToGrid w:val="0"/>
          <w:kern w:val="0"/>
          <w:sz w:val="24"/>
          <w:shd w:val="clear" w:color="auto" w:fill="FFFFFF"/>
          <w:lang w:val="en-US" w:eastAsia="zh-CN"/>
        </w:rPr>
        <w:t xml:space="preserve"> </w:t>
      </w:r>
      <w:r>
        <w:rPr>
          <w:snapToGrid w:val="0"/>
          <w:kern w:val="0"/>
          <w:sz w:val="24"/>
          <w:shd w:val="clear" w:color="auto" w:fill="FFFFFF"/>
        </w:rPr>
        <w:t>评委对技术</w:t>
      </w:r>
      <w:r>
        <w:rPr>
          <w:rFonts w:hint="eastAsia"/>
          <w:snapToGrid w:val="0"/>
          <w:kern w:val="0"/>
          <w:sz w:val="24"/>
          <w:shd w:val="clear" w:color="auto" w:fill="FFFFFF"/>
        </w:rPr>
        <w:t>文件</w:t>
      </w:r>
      <w:r>
        <w:rPr>
          <w:snapToGrid w:val="0"/>
          <w:kern w:val="0"/>
          <w:sz w:val="24"/>
          <w:shd w:val="clear" w:color="auto" w:fill="FFFFFF"/>
        </w:rPr>
        <w:t>打分在招标文件第2.2.2（</w:t>
      </w:r>
      <w:r>
        <w:rPr>
          <w:rFonts w:hint="eastAsia"/>
          <w:snapToGrid w:val="0"/>
          <w:kern w:val="0"/>
          <w:sz w:val="24"/>
          <w:shd w:val="clear" w:color="auto" w:fill="FFFFFF"/>
        </w:rPr>
        <w:t>1</w:t>
      </w:r>
      <w:r>
        <w:rPr>
          <w:snapToGrid w:val="0"/>
          <w:kern w:val="0"/>
          <w:sz w:val="24"/>
          <w:shd w:val="clear" w:color="auto" w:fill="FFFFFF"/>
        </w:rPr>
        <w:t>）目规定评审总分的90%以上（含）、60%以下（含）的投标人，评委应提出充足的理由，该理由在评标委员会集体讨论并确认后记入评标报告，否则该评委应当且仅就评分理由重新提出充足的理由。</w:t>
      </w:r>
    </w:p>
    <w:p>
      <w:pPr>
        <w:spacing w:line="360" w:lineRule="auto"/>
        <w:ind w:firstLine="480"/>
        <w:rPr>
          <w:snapToGrid w:val="0"/>
          <w:kern w:val="0"/>
          <w:sz w:val="24"/>
          <w:shd w:val="clear" w:color="auto" w:fill="FFFFFF"/>
          <w:lang w:val="zh-CN"/>
        </w:rPr>
      </w:pPr>
      <w:r>
        <w:rPr>
          <w:snapToGrid w:val="0"/>
          <w:kern w:val="0"/>
          <w:sz w:val="24"/>
          <w:shd w:val="clear" w:color="auto" w:fill="FFFFFF"/>
          <w:lang w:val="zh-CN"/>
        </w:rPr>
        <w:t>3.2.</w:t>
      </w:r>
      <w:r>
        <w:rPr>
          <w:snapToGrid w:val="0"/>
          <w:kern w:val="0"/>
          <w:sz w:val="24"/>
          <w:shd w:val="clear" w:color="auto" w:fill="FFFFFF"/>
        </w:rPr>
        <w:t>4</w:t>
      </w:r>
      <w:r>
        <w:rPr>
          <w:snapToGrid w:val="0"/>
          <w:kern w:val="0"/>
          <w:sz w:val="24"/>
          <w:shd w:val="clear" w:color="auto" w:fill="FFFFFF"/>
          <w:lang w:val="zh-CN"/>
        </w:rPr>
        <w:t xml:space="preserve"> </w:t>
      </w:r>
      <w:r>
        <w:rPr>
          <w:sz w:val="24"/>
        </w:rPr>
        <w:t>投标人商务及技术得分</w:t>
      </w:r>
      <w:r>
        <w:rPr>
          <w:snapToGrid w:val="0"/>
          <w:kern w:val="0"/>
          <w:sz w:val="24"/>
          <w:shd w:val="clear" w:color="auto" w:fill="FFFFFF"/>
          <w:lang w:val="zh-CN"/>
        </w:rPr>
        <w:t>=A+B。</w:t>
      </w:r>
    </w:p>
    <w:p>
      <w:pPr>
        <w:spacing w:line="360" w:lineRule="auto"/>
        <w:ind w:firstLine="480"/>
        <w:rPr>
          <w:snapToGrid w:val="0"/>
          <w:kern w:val="0"/>
          <w:sz w:val="24"/>
          <w:shd w:val="clear" w:color="auto" w:fill="FFFFFF"/>
          <w:lang w:val="zh-CN"/>
        </w:rPr>
      </w:pPr>
      <w:r>
        <w:rPr>
          <w:snapToGrid w:val="0"/>
          <w:kern w:val="0"/>
          <w:sz w:val="24"/>
          <w:shd w:val="clear" w:color="auto" w:fill="FFFFFF"/>
          <w:lang w:val="zh-CN"/>
        </w:rPr>
        <w:t>3.2.</w:t>
      </w:r>
      <w:r>
        <w:rPr>
          <w:snapToGrid w:val="0"/>
          <w:kern w:val="0"/>
          <w:sz w:val="24"/>
          <w:shd w:val="clear" w:color="auto" w:fill="FFFFFF"/>
        </w:rPr>
        <w:t>5</w:t>
      </w:r>
      <w:r>
        <w:rPr>
          <w:snapToGrid w:val="0"/>
          <w:kern w:val="0"/>
          <w:sz w:val="24"/>
          <w:shd w:val="clear" w:color="auto" w:fill="FFFFFF"/>
          <w:lang w:val="zh-CN"/>
        </w:rPr>
        <w:t xml:space="preserve"> 评标委员会按照投标人的商务及技术得分由高到低排序，排名在评标办法前附表规定数量以内的投标人，其商务文件和技术文件通过详细评审。</w:t>
      </w:r>
    </w:p>
    <w:p>
      <w:pPr>
        <w:spacing w:line="360" w:lineRule="auto"/>
        <w:ind w:firstLine="480"/>
        <w:rPr>
          <w:snapToGrid w:val="0"/>
          <w:kern w:val="0"/>
          <w:sz w:val="24"/>
          <w:shd w:val="clear" w:color="auto" w:fill="FFFFFF"/>
          <w:lang w:val="zh-CN"/>
        </w:rPr>
      </w:pPr>
      <w:r>
        <w:rPr>
          <w:snapToGrid w:val="0"/>
          <w:kern w:val="0"/>
          <w:sz w:val="24"/>
          <w:shd w:val="clear" w:color="auto" w:fill="FFFFFF"/>
          <w:lang w:val="zh-CN"/>
        </w:rPr>
        <w:t>3.2.</w:t>
      </w:r>
      <w:r>
        <w:rPr>
          <w:snapToGrid w:val="0"/>
          <w:kern w:val="0"/>
          <w:sz w:val="24"/>
          <w:shd w:val="clear" w:color="auto" w:fill="FFFFFF"/>
        </w:rPr>
        <w:t>6</w:t>
      </w:r>
      <w:r>
        <w:rPr>
          <w:snapToGrid w:val="0"/>
          <w:kern w:val="0"/>
          <w:sz w:val="24"/>
          <w:shd w:val="clear" w:color="auto" w:fill="FFFFFF"/>
          <w:lang w:val="zh-CN"/>
        </w:rPr>
        <w:t xml:space="preserve"> 通过商务文件和技术文件初步评审的投标人不少于3个且未超过评标办法前附表第3.2.</w:t>
      </w:r>
      <w:r>
        <w:rPr>
          <w:rFonts w:hint="eastAsia"/>
          <w:snapToGrid w:val="0"/>
          <w:kern w:val="0"/>
          <w:sz w:val="24"/>
          <w:shd w:val="clear" w:color="auto" w:fill="FFFFFF"/>
        </w:rPr>
        <w:t>5</w:t>
      </w:r>
      <w:r>
        <w:rPr>
          <w:snapToGrid w:val="0"/>
          <w:kern w:val="0"/>
          <w:sz w:val="24"/>
          <w:shd w:val="clear" w:color="auto" w:fill="FFFFFF"/>
          <w:lang w:val="zh-CN"/>
        </w:rPr>
        <w:t>项规定数量的，均通过投标文件商务文件和技术文件详细评审，不再对投标人的商务文件和技术文件进行评分。</w:t>
      </w:r>
    </w:p>
    <w:p>
      <w:pPr>
        <w:keepNext/>
        <w:keepLines/>
        <w:spacing w:beforeLines="100" w:afterLines="100"/>
        <w:ind w:firstLine="0" w:firstLineChars="0"/>
        <w:jc w:val="left"/>
        <w:outlineLvl w:val="2"/>
        <w:rPr>
          <w:rFonts w:eastAsia="黑体"/>
          <w:bCs/>
          <w:sz w:val="24"/>
          <w:szCs w:val="32"/>
        </w:rPr>
      </w:pPr>
      <w:bookmarkStart w:id="449" w:name="_Toc138689419"/>
      <w:r>
        <w:rPr>
          <w:rFonts w:eastAsia="黑体"/>
          <w:bCs/>
          <w:sz w:val="24"/>
          <w:szCs w:val="32"/>
        </w:rPr>
        <w:t>3.3 报价文件公布</w:t>
      </w:r>
      <w:bookmarkEnd w:id="449"/>
    </w:p>
    <w:p>
      <w:pPr>
        <w:spacing w:line="360" w:lineRule="auto"/>
        <w:ind w:firstLine="480"/>
        <w:rPr>
          <w:sz w:val="24"/>
        </w:rPr>
      </w:pPr>
      <w:r>
        <w:rPr>
          <w:sz w:val="24"/>
        </w:rPr>
        <w:t>商务文件、技术文件评审结束后，</w:t>
      </w:r>
      <w:r>
        <w:rPr>
          <w:rFonts w:hint="eastAsia"/>
          <w:sz w:val="24"/>
        </w:rPr>
        <w:t>公布</w:t>
      </w:r>
      <w:r>
        <w:rPr>
          <w:sz w:val="24"/>
        </w:rPr>
        <w:t>通过商务和技术文件评审的</w:t>
      </w:r>
      <w:r>
        <w:rPr>
          <w:rFonts w:hint="eastAsia"/>
          <w:sz w:val="24"/>
        </w:rPr>
        <w:t>投标人的投标报价</w:t>
      </w:r>
      <w:r>
        <w:rPr>
          <w:sz w:val="24"/>
        </w:rPr>
        <w:t>。</w:t>
      </w:r>
    </w:p>
    <w:p>
      <w:pPr>
        <w:keepNext/>
        <w:keepLines/>
        <w:spacing w:beforeLines="100" w:afterLines="100"/>
        <w:ind w:firstLine="0" w:firstLineChars="0"/>
        <w:jc w:val="left"/>
        <w:outlineLvl w:val="2"/>
        <w:rPr>
          <w:rFonts w:eastAsia="黑体"/>
          <w:bCs/>
          <w:sz w:val="24"/>
          <w:szCs w:val="32"/>
        </w:rPr>
      </w:pPr>
      <w:bookmarkStart w:id="450" w:name="_Toc138689420"/>
      <w:r>
        <w:rPr>
          <w:rFonts w:eastAsia="黑体"/>
          <w:bCs/>
          <w:sz w:val="24"/>
          <w:szCs w:val="32"/>
        </w:rPr>
        <w:t>3.4 报价文件初步评审</w:t>
      </w:r>
      <w:bookmarkEnd w:id="450"/>
    </w:p>
    <w:p>
      <w:pPr>
        <w:spacing w:line="360" w:lineRule="auto"/>
        <w:ind w:firstLine="480"/>
        <w:rPr>
          <w:sz w:val="24"/>
        </w:rPr>
      </w:pPr>
      <w:r>
        <w:rPr>
          <w:sz w:val="24"/>
        </w:rPr>
        <w:t>3.4.1评标委员会依据本章第2</w:t>
      </w:r>
      <w:bookmarkStart w:id="988" w:name="_GoBack"/>
      <w:bookmarkEnd w:id="988"/>
      <w:r>
        <w:rPr>
          <w:sz w:val="24"/>
        </w:rPr>
        <w:t>.1.1项、第2.1.3项规定的评审标准对报价文件进行初步评审。有一项不符合评审标准的，评标委员会应否决其投标。</w:t>
      </w:r>
    </w:p>
    <w:p>
      <w:pPr>
        <w:spacing w:line="360" w:lineRule="auto"/>
        <w:ind w:firstLine="480"/>
        <w:rPr>
          <w:sz w:val="24"/>
        </w:rPr>
      </w:pPr>
      <w:r>
        <w:rPr>
          <w:sz w:val="24"/>
        </w:rPr>
        <w:t>3.4.2 初步评审时，评标委员会应对报价文件进行分析和整理工作，从而发现并提取其中可能存在的对招标范围理解的偏差、投标报价的算术性错误、缺漏项、投标报价构成不合理、不平衡报价等存在明显异常的问题，并就这些问题整理审议后，决定需要投标人进行澄清、说明的问题，向投标人发出问题澄清通知。</w:t>
      </w:r>
    </w:p>
    <w:p>
      <w:pPr>
        <w:spacing w:line="360" w:lineRule="auto"/>
        <w:ind w:firstLine="480"/>
        <w:rPr>
          <w:sz w:val="24"/>
        </w:rPr>
      </w:pPr>
      <w:r>
        <w:rPr>
          <w:sz w:val="24"/>
        </w:rPr>
        <w:t xml:space="preserve">3.4.3 分析和整理工作的内容和步骤： </w:t>
      </w:r>
    </w:p>
    <w:p>
      <w:pPr>
        <w:spacing w:line="360" w:lineRule="auto"/>
        <w:ind w:firstLine="480"/>
        <w:rPr>
          <w:sz w:val="24"/>
        </w:rPr>
      </w:pPr>
      <w:r>
        <w:rPr>
          <w:sz w:val="24"/>
        </w:rPr>
        <w:t xml:space="preserve">（1）投标文件在符合性、响应性等方面存在的偏差； </w:t>
      </w:r>
    </w:p>
    <w:p>
      <w:pPr>
        <w:spacing w:line="360" w:lineRule="auto"/>
        <w:ind w:firstLine="480"/>
        <w:rPr>
          <w:sz w:val="24"/>
        </w:rPr>
      </w:pPr>
      <w:r>
        <w:rPr>
          <w:sz w:val="24"/>
        </w:rPr>
        <w:t xml:space="preserve">（2）投标文件存在的算术计算错误和修正结果； </w:t>
      </w:r>
    </w:p>
    <w:p>
      <w:pPr>
        <w:spacing w:line="360" w:lineRule="auto"/>
        <w:ind w:firstLine="480"/>
        <w:rPr>
          <w:sz w:val="24"/>
        </w:rPr>
      </w:pPr>
      <w:r>
        <w:rPr>
          <w:sz w:val="24"/>
        </w:rPr>
        <w:t xml:space="preserve">（3）在列出的所有偏差中，属于重大偏差的情形和相关依据；在列出的所有偏差中，属于细微偏差的情形； </w:t>
      </w:r>
    </w:p>
    <w:p>
      <w:pPr>
        <w:spacing w:line="360" w:lineRule="auto"/>
        <w:ind w:firstLine="480"/>
        <w:rPr>
          <w:sz w:val="24"/>
        </w:rPr>
      </w:pPr>
      <w:r>
        <w:rPr>
          <w:sz w:val="24"/>
        </w:rPr>
        <w:t>（4）评标委员会审核确认分析和整理工作结果。</w:t>
      </w:r>
    </w:p>
    <w:p>
      <w:pPr>
        <w:spacing w:line="360" w:lineRule="auto"/>
        <w:ind w:firstLine="480"/>
        <w:rPr>
          <w:sz w:val="24"/>
        </w:rPr>
      </w:pPr>
      <w:r>
        <w:rPr>
          <w:sz w:val="24"/>
        </w:rPr>
        <w:t>3.4.4 除按照第二</w:t>
      </w:r>
      <w:r>
        <w:rPr>
          <w:rFonts w:hint="eastAsia" w:ascii="宋体" w:hAnsi="宋体" w:cs="宋体"/>
          <w:sz w:val="24"/>
        </w:rPr>
        <w:t>章“投标人须知”</w:t>
      </w:r>
      <w:r>
        <w:rPr>
          <w:sz w:val="24"/>
        </w:rPr>
        <w:t>第1.12.3项、第1.12.4项对细微偏差进行处理外，对于其他细微偏差</w:t>
      </w:r>
      <w:r>
        <w:rPr>
          <w:rFonts w:hint="eastAsia"/>
          <w:sz w:val="24"/>
        </w:rPr>
        <w:t>按照</w:t>
      </w:r>
      <w:r>
        <w:rPr>
          <w:sz w:val="24"/>
        </w:rPr>
        <w:t>以下规定处理：</w:t>
      </w:r>
    </w:p>
    <w:p>
      <w:pPr>
        <w:spacing w:line="360" w:lineRule="auto"/>
        <w:ind w:firstLine="480"/>
        <w:rPr>
          <w:sz w:val="24"/>
        </w:rPr>
      </w:pPr>
      <w:r>
        <w:rPr>
          <w:sz w:val="24"/>
        </w:rPr>
        <w:t>（1）投标文件中填报的投标报价、投标工期、工程质量标准、安全目标前后不一致时，以投标函填报的为准；</w:t>
      </w:r>
    </w:p>
    <w:p>
      <w:pPr>
        <w:spacing w:line="360" w:lineRule="auto"/>
        <w:ind w:firstLine="480"/>
        <w:rPr>
          <w:sz w:val="24"/>
        </w:rPr>
      </w:pPr>
      <w:r>
        <w:rPr>
          <w:sz w:val="24"/>
        </w:rPr>
        <w:t>（2）投标报价有算术错误的，评标委员会</w:t>
      </w:r>
      <w:r>
        <w:rPr>
          <w:rFonts w:hint="eastAsia"/>
          <w:sz w:val="24"/>
        </w:rPr>
        <w:t>按照</w:t>
      </w:r>
      <w:r>
        <w:rPr>
          <w:sz w:val="24"/>
        </w:rPr>
        <w:t>以下原则对投标报价进行修正，修正的价格经投标人书面确认后具有约束力。投标人不接受修正价格的，评标委员会应否决其投标。</w:t>
      </w:r>
    </w:p>
    <w:p>
      <w:pPr>
        <w:spacing w:line="360" w:lineRule="auto"/>
        <w:ind w:firstLine="480"/>
        <w:rPr>
          <w:sz w:val="24"/>
        </w:rPr>
      </w:pPr>
      <w:r>
        <w:rPr>
          <w:rFonts w:hint="eastAsia" w:ascii="宋体" w:hAnsi="宋体" w:cs="宋体"/>
          <w:sz w:val="24"/>
        </w:rPr>
        <w:t>①</w:t>
      </w:r>
      <w:r>
        <w:rPr>
          <w:sz w:val="24"/>
        </w:rPr>
        <w:t>投标文件中的大写金额与小写金额不一致的，以大写金额为准；</w:t>
      </w:r>
    </w:p>
    <w:p>
      <w:pPr>
        <w:spacing w:line="360" w:lineRule="auto"/>
        <w:ind w:firstLine="480"/>
        <w:rPr>
          <w:sz w:val="24"/>
        </w:rPr>
      </w:pPr>
      <w:r>
        <w:rPr>
          <w:rFonts w:hint="eastAsia" w:ascii="宋体" w:hAnsi="宋体" w:cs="宋体"/>
          <w:sz w:val="24"/>
        </w:rPr>
        <w:t>②</w:t>
      </w:r>
      <w:r>
        <w:rPr>
          <w:sz w:val="24"/>
        </w:rPr>
        <w:t>总价金额与依据单价计算出的结果不一致的，以单价金额为准修正总价，但单价金额小数点有明显错误的除外；</w:t>
      </w:r>
    </w:p>
    <w:p>
      <w:pPr>
        <w:spacing w:line="360" w:lineRule="auto"/>
        <w:ind w:firstLine="480"/>
        <w:rPr>
          <w:sz w:val="24"/>
        </w:rPr>
      </w:pPr>
      <w:r>
        <w:rPr>
          <w:rFonts w:hint="eastAsia" w:ascii="宋体" w:hAnsi="宋体" w:cs="宋体"/>
          <w:sz w:val="24"/>
        </w:rPr>
        <w:t>③</w:t>
      </w:r>
      <w:r>
        <w:rPr>
          <w:sz w:val="24"/>
        </w:rPr>
        <w:t>当单价与数量相乘不等于合价时，以单价计算为准，如果单价有明显的小数点位置差错，应以标出的合价为准，同时对单价予以修正；</w:t>
      </w:r>
    </w:p>
    <w:p>
      <w:pPr>
        <w:spacing w:line="360" w:lineRule="auto"/>
        <w:ind w:firstLine="480"/>
        <w:rPr>
          <w:sz w:val="24"/>
        </w:rPr>
      </w:pPr>
      <w:r>
        <w:rPr>
          <w:rFonts w:hint="eastAsia" w:ascii="宋体" w:hAnsi="宋体" w:cs="宋体"/>
          <w:sz w:val="24"/>
        </w:rPr>
        <w:t>④</w:t>
      </w:r>
      <w:r>
        <w:rPr>
          <w:sz w:val="24"/>
        </w:rPr>
        <w:t>当各子目的合价累计不等于总价时，应以各子目合价累计数为准，修正总价。</w:t>
      </w:r>
    </w:p>
    <w:p>
      <w:pPr>
        <w:spacing w:line="360" w:lineRule="auto"/>
        <w:ind w:firstLine="480"/>
        <w:rPr>
          <w:sz w:val="24"/>
        </w:rPr>
      </w:pPr>
      <w:r>
        <w:rPr>
          <w:sz w:val="24"/>
        </w:rPr>
        <w:t>（3）工程量清单中的投标报价有其他错误的，评标委员会</w:t>
      </w:r>
      <w:r>
        <w:rPr>
          <w:rFonts w:hint="eastAsia"/>
          <w:sz w:val="24"/>
        </w:rPr>
        <w:t>按照</w:t>
      </w:r>
      <w:r>
        <w:rPr>
          <w:sz w:val="24"/>
        </w:rPr>
        <w:t>以下原则对投标报价进行修正，修正的价格经投标人书面确认后具有约束力。投标人不接受修正价格的，评标委员会应否决其投标。</w:t>
      </w:r>
    </w:p>
    <w:p>
      <w:pPr>
        <w:spacing w:line="360" w:lineRule="auto"/>
        <w:ind w:firstLine="480"/>
        <w:rPr>
          <w:sz w:val="24"/>
        </w:rPr>
      </w:pPr>
      <w:r>
        <w:rPr>
          <w:rFonts w:hint="eastAsia" w:ascii="宋体" w:hAnsi="宋体" w:cs="宋体"/>
          <w:sz w:val="24"/>
        </w:rPr>
        <w:t>①</w:t>
      </w:r>
      <w:r>
        <w:rPr>
          <w:sz w:val="2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auto"/>
        <w:ind w:firstLine="480"/>
        <w:rPr>
          <w:sz w:val="24"/>
        </w:rPr>
      </w:pPr>
      <w:r>
        <w:rPr>
          <w:rFonts w:hint="eastAsia" w:ascii="宋体" w:hAnsi="宋体" w:cs="宋体"/>
          <w:sz w:val="24"/>
        </w:rPr>
        <w:t>②</w:t>
      </w:r>
      <w:r>
        <w:rPr>
          <w:sz w:val="24"/>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60" w:lineRule="auto"/>
        <w:ind w:firstLine="480"/>
        <w:rPr>
          <w:sz w:val="24"/>
        </w:rPr>
      </w:pPr>
      <w:r>
        <w:rPr>
          <w:rFonts w:hint="eastAsia" w:ascii="宋体" w:hAnsi="宋体" w:cs="宋体"/>
          <w:sz w:val="24"/>
        </w:rPr>
        <w:t>③</w:t>
      </w:r>
      <w:r>
        <w:rPr>
          <w:sz w:val="24"/>
        </w:rPr>
        <w:t>当单价与数量的乘积与合价（金额）虽然一致，但投标人修改了该子目的工程数量，则其合价</w:t>
      </w:r>
      <w:r>
        <w:rPr>
          <w:rFonts w:hint="eastAsia"/>
          <w:sz w:val="24"/>
        </w:rPr>
        <w:t>按照</w:t>
      </w:r>
      <w:r>
        <w:rPr>
          <w:sz w:val="24"/>
        </w:rPr>
        <w:t>招标人给定的工程数量乘以投标人所报单价予以修正。</w:t>
      </w:r>
    </w:p>
    <w:p>
      <w:pPr>
        <w:spacing w:line="360" w:lineRule="auto"/>
        <w:ind w:firstLine="480"/>
        <w:rPr>
          <w:sz w:val="24"/>
        </w:rPr>
      </w:pPr>
      <w:r>
        <w:rPr>
          <w:rFonts w:hint="eastAsia" w:ascii="宋体" w:hAnsi="宋体" w:cs="宋体"/>
          <w:sz w:val="24"/>
        </w:rPr>
        <w:t>④</w:t>
      </w:r>
      <w:r>
        <w:rPr>
          <w:sz w:val="24"/>
        </w:rPr>
        <w:t>当各子目的合价累计不等于总价时，应以各子目合价累计数为准，修正总价。</w:t>
      </w:r>
    </w:p>
    <w:p>
      <w:pPr>
        <w:spacing w:line="360" w:lineRule="auto"/>
        <w:ind w:firstLine="480"/>
        <w:rPr>
          <w:sz w:val="24"/>
        </w:rPr>
      </w:pPr>
      <w:r>
        <w:rPr>
          <w:sz w:val="24"/>
        </w:rPr>
        <w:t>（4）投标报价存在细微偏差的，评标委员会</w:t>
      </w:r>
      <w:r>
        <w:rPr>
          <w:rFonts w:hint="eastAsia"/>
          <w:sz w:val="24"/>
        </w:rPr>
        <w:t>按照</w:t>
      </w:r>
      <w:r>
        <w:rPr>
          <w:sz w:val="24"/>
        </w:rPr>
        <w:t>以上原则对投标报价进行处理，并要求投标人澄清确认，投标人拒不澄清确认的，评标委员会应当否决其投标。</w:t>
      </w:r>
    </w:p>
    <w:p>
      <w:pPr>
        <w:spacing w:line="360" w:lineRule="auto"/>
        <w:ind w:firstLine="480"/>
        <w:rPr>
          <w:sz w:val="24"/>
        </w:rPr>
      </w:pPr>
      <w:r>
        <w:rPr>
          <w:sz w:val="24"/>
        </w:rPr>
        <w:t>3.4.5 修正后的最终投标报价若超过最高投标限价（如有），评标委员会应否决其投标。</w:t>
      </w:r>
    </w:p>
    <w:p>
      <w:pPr>
        <w:keepNext/>
        <w:keepLines/>
        <w:spacing w:beforeLines="100" w:afterLines="100"/>
        <w:ind w:firstLine="0" w:firstLineChars="0"/>
        <w:jc w:val="left"/>
        <w:outlineLvl w:val="2"/>
        <w:rPr>
          <w:rFonts w:eastAsia="黑体"/>
          <w:bCs/>
          <w:sz w:val="24"/>
          <w:szCs w:val="32"/>
        </w:rPr>
      </w:pPr>
      <w:bookmarkStart w:id="451" w:name="_Toc138689421"/>
      <w:r>
        <w:rPr>
          <w:rFonts w:eastAsia="黑体"/>
          <w:bCs/>
          <w:sz w:val="24"/>
          <w:szCs w:val="32"/>
        </w:rPr>
        <w:t>3.5 报价文件详细评审</w:t>
      </w:r>
      <w:bookmarkEnd w:id="451"/>
    </w:p>
    <w:p>
      <w:pPr>
        <w:spacing w:line="360" w:lineRule="auto"/>
        <w:ind w:firstLine="480"/>
        <w:rPr>
          <w:sz w:val="24"/>
        </w:rPr>
      </w:pPr>
      <w:r>
        <w:rPr>
          <w:sz w:val="24"/>
        </w:rPr>
        <w:t>3.5.</w:t>
      </w:r>
      <w:r>
        <w:rPr>
          <w:rFonts w:hint="eastAsia"/>
          <w:sz w:val="24"/>
        </w:rPr>
        <w:t>1</w:t>
      </w:r>
      <w:r>
        <w:rPr>
          <w:sz w:val="24"/>
        </w:rPr>
        <w:t>评标委员会</w:t>
      </w:r>
      <w:r>
        <w:rPr>
          <w:rFonts w:hint="eastAsia"/>
          <w:sz w:val="24"/>
        </w:rPr>
        <w:t>按照</w:t>
      </w:r>
      <w:r>
        <w:rPr>
          <w:sz w:val="24"/>
        </w:rPr>
        <w:t>本章第2.2款规定的量化因素和标准进行价格折算，计算出评标价，并编制价格比较一览表。</w:t>
      </w:r>
    </w:p>
    <w:p>
      <w:pPr>
        <w:spacing w:line="360" w:lineRule="auto"/>
        <w:ind w:firstLine="480"/>
        <w:rPr>
          <w:sz w:val="24"/>
          <w:lang w:val="zh-CN"/>
        </w:rPr>
      </w:pPr>
      <w:r>
        <w:rPr>
          <w:sz w:val="24"/>
          <w:lang w:val="zh-CN"/>
        </w:rPr>
        <w:t>3.5.</w:t>
      </w:r>
      <w:r>
        <w:rPr>
          <w:rFonts w:hint="eastAsia"/>
          <w:sz w:val="24"/>
        </w:rPr>
        <w:t>2</w:t>
      </w:r>
      <w:r>
        <w:rPr>
          <w:sz w:val="24"/>
          <w:lang w:val="zh-CN"/>
        </w:rPr>
        <w:t>评标委员会发现投标人的报价明显低于其他投标报价，使得其投标报价可能低于其</w:t>
      </w:r>
      <w:r>
        <w:rPr>
          <w:rFonts w:hint="eastAsia"/>
          <w:sz w:val="24"/>
        </w:rPr>
        <w:t>个别</w:t>
      </w:r>
      <w:r>
        <w:rPr>
          <w:sz w:val="24"/>
          <w:lang w:val="zh-CN"/>
        </w:rPr>
        <w:t>成本的，应当要求该投标人作出书面说明并提供相应的证明材料。投标人不能合理说明或者不能提供相应证明材料的，评标委员会应当认定该投标人以低于成本报价竞标，否决其投标。</w:t>
      </w:r>
    </w:p>
    <w:p>
      <w:pPr>
        <w:keepNext/>
        <w:keepLines/>
        <w:spacing w:beforeLines="100" w:afterLines="100"/>
        <w:ind w:firstLine="0" w:firstLineChars="0"/>
        <w:jc w:val="left"/>
        <w:outlineLvl w:val="2"/>
        <w:rPr>
          <w:rFonts w:eastAsia="黑体"/>
          <w:bCs/>
          <w:sz w:val="24"/>
          <w:szCs w:val="32"/>
        </w:rPr>
      </w:pPr>
      <w:bookmarkStart w:id="452" w:name="_Toc138689422"/>
      <w:r>
        <w:rPr>
          <w:rFonts w:eastAsia="黑体"/>
          <w:bCs/>
          <w:sz w:val="24"/>
          <w:szCs w:val="32"/>
        </w:rPr>
        <w:t>3.6 投标文件的澄清和说明或补正</w:t>
      </w:r>
      <w:bookmarkEnd w:id="452"/>
    </w:p>
    <w:p>
      <w:pPr>
        <w:spacing w:line="360" w:lineRule="auto"/>
        <w:ind w:firstLine="480"/>
        <w:rPr>
          <w:sz w:val="24"/>
        </w:rPr>
      </w:pPr>
      <w:r>
        <w:rPr>
          <w:sz w:val="24"/>
        </w:rPr>
        <w:t>3.6.1 在评标过程中，评标委员会可以要求投标人对投标文件中含义不明确、对同类问题表述不一致或者有明显文字和计算错误的内容做必要的澄清、说明或补正。评标委员会不接受投标人主动提出的澄清、说明或补正。</w:t>
      </w:r>
    </w:p>
    <w:p>
      <w:pPr>
        <w:spacing w:line="360" w:lineRule="auto"/>
        <w:ind w:firstLine="480"/>
        <w:rPr>
          <w:sz w:val="24"/>
        </w:rPr>
      </w:pPr>
      <w:r>
        <w:rPr>
          <w:sz w:val="24"/>
        </w:rPr>
        <w:t>3.6.2 澄清、说明或补正不得超出投标文件的范围且不得改变投标文件的实质性内容，并构成投标文件的组成部分。</w:t>
      </w:r>
    </w:p>
    <w:p>
      <w:pPr>
        <w:spacing w:line="360" w:lineRule="auto"/>
        <w:ind w:firstLine="480"/>
        <w:rPr>
          <w:sz w:val="24"/>
        </w:rPr>
      </w:pPr>
      <w:r>
        <w:rPr>
          <w:sz w:val="24"/>
        </w:rPr>
        <w:t>3.6.3 评标委员会对投标人提交的澄清、说明或补正有疑问的，可以要求投标人进一步澄清、说明或补正，直至满足评标委员会的要求。</w:t>
      </w:r>
    </w:p>
    <w:p>
      <w:pPr>
        <w:keepNext/>
        <w:keepLines/>
        <w:spacing w:beforeLines="100" w:afterLines="100"/>
        <w:ind w:firstLine="0" w:firstLineChars="0"/>
        <w:jc w:val="left"/>
        <w:outlineLvl w:val="2"/>
        <w:rPr>
          <w:rFonts w:eastAsia="黑体"/>
          <w:bCs/>
          <w:sz w:val="24"/>
          <w:szCs w:val="32"/>
        </w:rPr>
      </w:pPr>
      <w:bookmarkStart w:id="453" w:name="_Toc138689423"/>
      <w:r>
        <w:rPr>
          <w:rFonts w:eastAsia="黑体"/>
          <w:bCs/>
          <w:sz w:val="24"/>
          <w:szCs w:val="32"/>
        </w:rPr>
        <w:t>3.7 否决投标的情形</w:t>
      </w:r>
      <w:bookmarkEnd w:id="453"/>
    </w:p>
    <w:p>
      <w:pPr>
        <w:spacing w:line="360" w:lineRule="auto"/>
        <w:ind w:firstLine="480"/>
        <w:rPr>
          <w:sz w:val="24"/>
        </w:rPr>
      </w:pPr>
      <w:r>
        <w:rPr>
          <w:sz w:val="24"/>
        </w:rPr>
        <w:t>3.7.1 投标人不符合本章第3.1款、第3.4款的，评标委员会应否决其投标。</w:t>
      </w:r>
    </w:p>
    <w:p>
      <w:pPr>
        <w:spacing w:line="360" w:lineRule="auto"/>
        <w:ind w:firstLine="480"/>
        <w:rPr>
          <w:sz w:val="24"/>
        </w:rPr>
      </w:pPr>
      <w:r>
        <w:rPr>
          <w:sz w:val="24"/>
        </w:rPr>
        <w:t>3.7.2</w:t>
      </w:r>
      <w:r>
        <w:rPr>
          <w:rFonts w:hint="eastAsia"/>
          <w:sz w:val="24"/>
        </w:rPr>
        <w:t xml:space="preserve"> </w:t>
      </w:r>
      <w:r>
        <w:rPr>
          <w:sz w:val="24"/>
        </w:rPr>
        <w:t>否决投标的其他情形，见评标办法前附表。</w:t>
      </w:r>
    </w:p>
    <w:p>
      <w:pPr>
        <w:spacing w:line="360" w:lineRule="auto"/>
        <w:ind w:firstLine="480"/>
        <w:rPr>
          <w:sz w:val="24"/>
        </w:rPr>
      </w:pPr>
      <w:r>
        <w:rPr>
          <w:sz w:val="24"/>
        </w:rPr>
        <w:t>3.7.3</w:t>
      </w:r>
      <w:r>
        <w:rPr>
          <w:rFonts w:hint="eastAsia"/>
          <w:sz w:val="24"/>
        </w:rPr>
        <w:t xml:space="preserve"> </w:t>
      </w:r>
      <w:r>
        <w:rPr>
          <w:sz w:val="24"/>
        </w:rPr>
        <w:t>投标人未通过本章第3.5.</w:t>
      </w:r>
      <w:r>
        <w:rPr>
          <w:rFonts w:hint="eastAsia"/>
          <w:sz w:val="24"/>
        </w:rPr>
        <w:t>2</w:t>
      </w:r>
      <w:r>
        <w:rPr>
          <w:sz w:val="24"/>
        </w:rPr>
        <w:t>项评审的，评标委员会应否决其投标。</w:t>
      </w:r>
    </w:p>
    <w:p>
      <w:pPr>
        <w:widowControl/>
        <w:spacing w:line="360" w:lineRule="auto"/>
        <w:ind w:firstLine="480"/>
        <w:rPr>
          <w:sz w:val="24"/>
        </w:rPr>
      </w:pPr>
      <w:r>
        <w:rPr>
          <w:rFonts w:hint="eastAsia"/>
          <w:sz w:val="24"/>
        </w:rPr>
        <w:t>3.7.4 投标人未通过异常低价评审的，评标委员会应否决其投标，不得推荐为中标候选人、确定为中标人。异常低价评审见评标办法前附表。</w:t>
      </w:r>
    </w:p>
    <w:p>
      <w:pPr>
        <w:keepNext/>
        <w:keepLines/>
        <w:spacing w:beforeLines="100" w:afterLines="100"/>
        <w:ind w:firstLine="0" w:firstLineChars="0"/>
        <w:jc w:val="left"/>
        <w:outlineLvl w:val="2"/>
        <w:rPr>
          <w:rFonts w:eastAsia="黑体"/>
          <w:bCs/>
          <w:sz w:val="24"/>
          <w:szCs w:val="32"/>
        </w:rPr>
      </w:pPr>
      <w:bookmarkStart w:id="454" w:name="_Toc138689424"/>
      <w:r>
        <w:rPr>
          <w:rFonts w:eastAsia="黑体"/>
          <w:bCs/>
          <w:sz w:val="24"/>
          <w:szCs w:val="32"/>
        </w:rPr>
        <w:t>3.8 不得否决投标的情形</w:t>
      </w:r>
      <w:bookmarkEnd w:id="454"/>
    </w:p>
    <w:p>
      <w:pPr>
        <w:spacing w:line="360" w:lineRule="auto"/>
        <w:ind w:firstLine="480"/>
        <w:rPr>
          <w:sz w:val="24"/>
        </w:rPr>
      </w:pPr>
      <w:r>
        <w:rPr>
          <w:sz w:val="24"/>
        </w:rPr>
        <w:t>投标文件存在第二章</w:t>
      </w:r>
      <w:r>
        <w:rPr>
          <w:rFonts w:hint="eastAsia" w:ascii="宋体" w:hAnsi="宋体" w:cs="宋体"/>
          <w:sz w:val="24"/>
        </w:rPr>
        <w:t>“投标人须知”</w:t>
      </w:r>
      <w:r>
        <w:rPr>
          <w:sz w:val="24"/>
        </w:rPr>
        <w:t>第1.12.3项所列情形的，均视为细微偏差，评标委员会不得否决投标人的投标，应按照第二</w:t>
      </w:r>
      <w:r>
        <w:rPr>
          <w:rFonts w:hint="eastAsia" w:ascii="宋体" w:hAnsi="宋体" w:cs="宋体"/>
          <w:sz w:val="24"/>
        </w:rPr>
        <w:t>章“投标人须知”</w:t>
      </w:r>
      <w:r>
        <w:rPr>
          <w:sz w:val="24"/>
        </w:rPr>
        <w:t>第1.12.4项规定的原则处理。</w:t>
      </w:r>
    </w:p>
    <w:p>
      <w:pPr>
        <w:keepNext/>
        <w:keepLines/>
        <w:spacing w:beforeLines="100" w:afterLines="100"/>
        <w:ind w:firstLine="0" w:firstLineChars="0"/>
        <w:jc w:val="left"/>
        <w:outlineLvl w:val="2"/>
        <w:rPr>
          <w:rFonts w:eastAsia="黑体"/>
          <w:bCs/>
          <w:sz w:val="24"/>
          <w:szCs w:val="32"/>
        </w:rPr>
      </w:pPr>
      <w:bookmarkStart w:id="455" w:name="_Toc138689425"/>
      <w:r>
        <w:rPr>
          <w:rFonts w:eastAsia="黑体"/>
          <w:bCs/>
          <w:sz w:val="24"/>
          <w:szCs w:val="32"/>
        </w:rPr>
        <w:t>3.9 评标结果</w:t>
      </w:r>
      <w:bookmarkEnd w:id="455"/>
    </w:p>
    <w:p>
      <w:pPr>
        <w:spacing w:line="360" w:lineRule="auto"/>
        <w:ind w:firstLine="480"/>
        <w:rPr>
          <w:sz w:val="24"/>
        </w:rPr>
      </w:pPr>
      <w:r>
        <w:rPr>
          <w:sz w:val="24"/>
        </w:rPr>
        <w:t>3.9.1 评标委员会对拟推荐的中标候选人进行查询，存在投标人须知第1.4.4项规定情形的，不得推荐为中标候选人，查询要求如下：</w:t>
      </w:r>
    </w:p>
    <w:p>
      <w:pPr>
        <w:spacing w:line="360" w:lineRule="auto"/>
        <w:ind w:firstLine="482"/>
        <w:rPr>
          <w:b/>
          <w:sz w:val="24"/>
        </w:rPr>
      </w:pPr>
      <w:r>
        <w:rPr>
          <w:b/>
          <w:sz w:val="24"/>
        </w:rPr>
        <w:t>（1）评标委员会仅</w:t>
      </w:r>
      <w:r>
        <w:rPr>
          <w:rFonts w:hint="eastAsia" w:ascii="宋体" w:hAnsi="宋体" w:cs="宋体"/>
          <w:b/>
          <w:sz w:val="24"/>
        </w:rPr>
        <w:t>通过“国家企业信用信息公示系统”查询</w:t>
      </w:r>
      <w:r>
        <w:rPr>
          <w:b/>
          <w:sz w:val="24"/>
        </w:rPr>
        <w:t>拟推荐中标候选人是否被列入严重违法失信名单，并将查询截图及查询结果在评标报告中予以记录；</w:t>
      </w:r>
    </w:p>
    <w:p>
      <w:pPr>
        <w:spacing w:line="360" w:lineRule="auto"/>
        <w:ind w:firstLine="482"/>
        <w:rPr>
          <w:b/>
          <w:sz w:val="24"/>
        </w:rPr>
      </w:pPr>
      <w:r>
        <w:rPr>
          <w:b/>
          <w:sz w:val="24"/>
        </w:rPr>
        <w:t>（2）评标委员会仅通</w:t>
      </w:r>
      <w:r>
        <w:rPr>
          <w:rFonts w:hint="eastAsia" w:ascii="宋体" w:hAnsi="宋体" w:cs="宋体"/>
          <w:b/>
          <w:sz w:val="24"/>
        </w:rPr>
        <w:t>过“信用中国”查询拟</w:t>
      </w:r>
      <w:r>
        <w:rPr>
          <w:b/>
          <w:sz w:val="24"/>
        </w:rPr>
        <w:t>推荐中标候选人是否被列为失信被执行人、确定为重大税收违法失信主体、列入拖欠农民工工资失信联合惩戒对象名单，并将查询截图及查询结果在评标报告中予以记录；</w:t>
      </w:r>
    </w:p>
    <w:p>
      <w:pPr>
        <w:spacing w:line="360" w:lineRule="auto"/>
        <w:ind w:firstLine="482"/>
        <w:rPr>
          <w:sz w:val="24"/>
        </w:rPr>
      </w:pPr>
      <w:r>
        <w:rPr>
          <w:b/>
          <w:sz w:val="24"/>
        </w:rPr>
        <w:t>（3）其他要求见投标人须知前附表第1.4.4（5）目。</w:t>
      </w:r>
    </w:p>
    <w:p>
      <w:pPr>
        <w:spacing w:line="360" w:lineRule="auto"/>
        <w:ind w:firstLine="480"/>
        <w:rPr>
          <w:sz w:val="24"/>
        </w:rPr>
      </w:pPr>
      <w:r>
        <w:rPr>
          <w:sz w:val="24"/>
        </w:rPr>
        <w:t>除第二章投标人须知前附表授权直接确定中标人外，评标委员会按照评标办法的规定推荐中标候选人，并标明排列排序。</w:t>
      </w:r>
    </w:p>
    <w:p>
      <w:pPr>
        <w:spacing w:line="360" w:lineRule="auto"/>
        <w:ind w:firstLine="480"/>
        <w:rPr>
          <w:sz w:val="24"/>
        </w:rPr>
      </w:pPr>
      <w:r>
        <w:rPr>
          <w:sz w:val="24"/>
        </w:rPr>
        <w:t>3.9.2 评标委员会完成评标后，应当向招标人提交评标报告。</w:t>
      </w:r>
    </w:p>
    <w:p>
      <w:pPr>
        <w:widowControl/>
        <w:ind w:firstLine="0" w:firstLineChars="0"/>
        <w:jc w:val="left"/>
        <w:rPr>
          <w:sz w:val="24"/>
        </w:rPr>
      </w:pPr>
      <w:r>
        <w:rPr>
          <w:sz w:val="24"/>
        </w:rPr>
        <w:br w:type="page"/>
      </w:r>
    </w:p>
    <w:bookmarkEnd w:id="417"/>
    <w:p>
      <w:pPr>
        <w:keepNext/>
        <w:keepLines/>
        <w:spacing w:beforeLines="100" w:afterLines="100" w:line="500" w:lineRule="exact"/>
        <w:ind w:firstLine="0" w:firstLineChars="0"/>
        <w:jc w:val="center"/>
        <w:outlineLvl w:val="0"/>
        <w:rPr>
          <w:rFonts w:eastAsia="黑体"/>
          <w:b/>
          <w:bCs/>
          <w:kern w:val="44"/>
          <w:sz w:val="32"/>
          <w:szCs w:val="32"/>
        </w:rPr>
      </w:pPr>
      <w:bookmarkStart w:id="456" w:name="_Toc512280926"/>
      <w:bookmarkStart w:id="457" w:name="_Toc138689426"/>
      <w:bookmarkStart w:id="458" w:name="_Toc9067784"/>
      <w:bookmarkStart w:id="459" w:name="_Toc14201390"/>
      <w:r>
        <w:rPr>
          <w:rFonts w:eastAsia="黑体"/>
          <w:b/>
          <w:bCs/>
          <w:kern w:val="44"/>
          <w:sz w:val="32"/>
          <w:szCs w:val="32"/>
        </w:rPr>
        <w:t>第四章</w:t>
      </w:r>
      <w:r>
        <w:rPr>
          <w:rFonts w:hint="eastAsia" w:eastAsia="黑体"/>
          <w:b/>
          <w:bCs/>
          <w:kern w:val="44"/>
          <w:sz w:val="32"/>
          <w:szCs w:val="32"/>
          <w:lang w:val="en-US" w:eastAsia="zh-CN"/>
        </w:rPr>
        <w:t xml:space="preserve"> </w:t>
      </w:r>
      <w:r>
        <w:rPr>
          <w:rFonts w:eastAsia="黑体"/>
          <w:b/>
          <w:bCs/>
          <w:kern w:val="44"/>
          <w:sz w:val="32"/>
          <w:szCs w:val="32"/>
        </w:rPr>
        <w:t>合同条款及格式</w:t>
      </w:r>
      <w:bookmarkEnd w:id="456"/>
      <w:bookmarkEnd w:id="457"/>
      <w:bookmarkEnd w:id="458"/>
      <w:bookmarkEnd w:id="459"/>
    </w:p>
    <w:p>
      <w:pPr>
        <w:keepNext/>
        <w:keepLines/>
        <w:spacing w:line="360" w:lineRule="auto"/>
        <w:ind w:firstLine="0" w:firstLineChars="0"/>
        <w:jc w:val="center"/>
        <w:outlineLvl w:val="1"/>
        <w:rPr>
          <w:rFonts w:eastAsia="黑体"/>
          <w:bCs/>
          <w:sz w:val="32"/>
          <w:szCs w:val="32"/>
        </w:rPr>
      </w:pPr>
      <w:r>
        <w:rPr>
          <w:szCs w:val="21"/>
        </w:rPr>
        <w:br w:type="page"/>
      </w:r>
      <w:bookmarkStart w:id="460" w:name="_Toc14201391"/>
      <w:bookmarkStart w:id="461" w:name="_Toc26657060"/>
      <w:bookmarkStart w:id="462" w:name="_Toc9067785"/>
      <w:bookmarkStart w:id="463" w:name="_Toc512280927"/>
      <w:bookmarkStart w:id="464" w:name="_Toc138689427"/>
      <w:bookmarkStart w:id="465" w:name="_Toc133311765"/>
      <w:r>
        <w:rPr>
          <w:rFonts w:eastAsia="黑体"/>
          <w:bCs/>
          <w:sz w:val="32"/>
          <w:szCs w:val="32"/>
        </w:rPr>
        <w:t>第一节  通用合同条款</w:t>
      </w:r>
      <w:bookmarkEnd w:id="460"/>
      <w:bookmarkEnd w:id="461"/>
      <w:bookmarkEnd w:id="462"/>
      <w:bookmarkEnd w:id="463"/>
      <w:bookmarkEnd w:id="464"/>
      <w:bookmarkEnd w:id="465"/>
    </w:p>
    <w:p>
      <w:pPr>
        <w:ind w:firstLine="480"/>
        <w:rPr>
          <w:rFonts w:ascii="宋体" w:hAnsi="宋体"/>
          <w:snapToGrid w:val="0"/>
          <w:kern w:val="0"/>
          <w:sz w:val="24"/>
        </w:rPr>
      </w:pPr>
      <w:r>
        <w:rPr>
          <w:rFonts w:hint="eastAsia" w:ascii="宋体" w:hAnsi="宋体"/>
          <w:snapToGrid w:val="0"/>
          <w:kern w:val="0"/>
          <w:sz w:val="24"/>
        </w:rPr>
        <w:t>“通用合同条款”采用国家九部委《标准施工招标文件》（2007年版）的“通用合同条款”。</w:t>
      </w:r>
    </w:p>
    <w:p>
      <w:pPr>
        <w:adjustRightInd w:val="0"/>
        <w:snapToGrid w:val="0"/>
        <w:spacing w:line="360" w:lineRule="auto"/>
        <w:ind w:firstLine="420"/>
        <w:textAlignment w:val="baseline"/>
        <w:rPr>
          <w:szCs w:val="21"/>
        </w:rPr>
      </w:pPr>
    </w:p>
    <w:p>
      <w:pPr>
        <w:widowControl/>
        <w:ind w:firstLine="0" w:firstLineChars="0"/>
        <w:jc w:val="left"/>
        <w:rPr>
          <w:szCs w:val="21"/>
        </w:rPr>
      </w:pPr>
      <w:r>
        <w:rPr>
          <w:szCs w:val="21"/>
        </w:rPr>
        <w:br w:type="page"/>
      </w:r>
    </w:p>
    <w:p>
      <w:pPr>
        <w:keepNext/>
        <w:keepLines/>
        <w:spacing w:line="360" w:lineRule="auto"/>
        <w:ind w:firstLine="0" w:firstLineChars="0"/>
        <w:jc w:val="center"/>
        <w:outlineLvl w:val="1"/>
        <w:rPr>
          <w:rFonts w:eastAsia="黑体"/>
          <w:bCs/>
          <w:sz w:val="32"/>
          <w:szCs w:val="32"/>
        </w:rPr>
      </w:pPr>
      <w:bookmarkStart w:id="466" w:name="_Toc512280928"/>
      <w:bookmarkStart w:id="467" w:name="_Toc138689428"/>
      <w:bookmarkStart w:id="468" w:name="_Toc14201392"/>
      <w:bookmarkStart w:id="469" w:name="_Toc9067786"/>
      <w:bookmarkStart w:id="470" w:name="_Toc26657061"/>
      <w:bookmarkStart w:id="471" w:name="_Toc133311766"/>
      <w:r>
        <w:rPr>
          <w:rFonts w:eastAsia="黑体"/>
          <w:bCs/>
          <w:sz w:val="32"/>
          <w:szCs w:val="32"/>
        </w:rPr>
        <w:t>第二节  专用合同条款</w:t>
      </w:r>
      <w:bookmarkEnd w:id="466"/>
      <w:bookmarkEnd w:id="467"/>
      <w:bookmarkEnd w:id="468"/>
      <w:bookmarkEnd w:id="469"/>
      <w:bookmarkEnd w:id="470"/>
      <w:bookmarkEnd w:id="471"/>
    </w:p>
    <w:p>
      <w:pPr>
        <w:widowControl/>
        <w:ind w:firstLine="0" w:firstLineChars="0"/>
        <w:jc w:val="left"/>
        <w:rPr>
          <w:szCs w:val="21"/>
        </w:rPr>
      </w:pPr>
      <w:r>
        <w:rPr>
          <w:szCs w:val="21"/>
        </w:rPr>
        <w:br w:type="page"/>
      </w:r>
    </w:p>
    <w:p>
      <w:pPr>
        <w:spacing w:line="440" w:lineRule="exact"/>
        <w:ind w:firstLine="0" w:firstLineChars="0"/>
        <w:jc w:val="center"/>
        <w:outlineLvl w:val="2"/>
        <w:rPr>
          <w:rFonts w:eastAsia="黑体"/>
          <w:sz w:val="28"/>
          <w:szCs w:val="28"/>
        </w:rPr>
      </w:pPr>
      <w:bookmarkStart w:id="472" w:name="_Toc133311767"/>
      <w:bookmarkStart w:id="473" w:name="_Toc138689429"/>
      <w:bookmarkStart w:id="474" w:name="_Toc14201393"/>
      <w:bookmarkStart w:id="475" w:name="_Toc26657062"/>
      <w:bookmarkStart w:id="476" w:name="_Toc9067787"/>
      <w:bookmarkStart w:id="477" w:name="_Toc98148183"/>
      <w:bookmarkStart w:id="478" w:name="_Toc131087905"/>
      <w:r>
        <w:rPr>
          <w:rFonts w:eastAsia="黑体"/>
          <w:sz w:val="28"/>
          <w:szCs w:val="28"/>
        </w:rPr>
        <w:t>A. 公路工程专用合同条款</w:t>
      </w:r>
      <w:bookmarkEnd w:id="472"/>
      <w:bookmarkEnd w:id="473"/>
      <w:bookmarkEnd w:id="474"/>
      <w:bookmarkEnd w:id="475"/>
      <w:bookmarkEnd w:id="476"/>
      <w:bookmarkEnd w:id="477"/>
      <w:bookmarkEnd w:id="478"/>
    </w:p>
    <w:p>
      <w:pPr>
        <w:spacing w:line="440" w:lineRule="exact"/>
        <w:ind w:firstLine="0" w:firstLineChars="0"/>
        <w:rPr>
          <w:rFonts w:eastAsia="黑体"/>
          <w:sz w:val="27"/>
          <w:szCs w:val="27"/>
        </w:rPr>
      </w:pPr>
    </w:p>
    <w:p>
      <w:pPr>
        <w:ind w:firstLine="480"/>
        <w:rPr>
          <w:rFonts w:ascii="宋体" w:hAnsi="宋体"/>
          <w:snapToGrid w:val="0"/>
          <w:kern w:val="0"/>
          <w:sz w:val="24"/>
        </w:rPr>
      </w:pPr>
      <w:r>
        <w:rPr>
          <w:rFonts w:hint="eastAsia" w:ascii="宋体" w:hAnsi="宋体"/>
          <w:snapToGrid w:val="0"/>
          <w:kern w:val="0"/>
          <w:sz w:val="24"/>
        </w:rPr>
        <w:t>“公路工程专用合同条款”采用中华人民共和国交通运输部《公路工程标准施工招标文件》（2018年版）的“公路工程专用合同条款”。</w:t>
      </w:r>
    </w:p>
    <w:p>
      <w:pPr>
        <w:widowControl/>
        <w:ind w:firstLine="0" w:firstLineChars="0"/>
        <w:jc w:val="left"/>
        <w:rPr>
          <w:rFonts w:eastAsia="黑体"/>
          <w:snapToGrid w:val="0"/>
          <w:kern w:val="0"/>
          <w:sz w:val="24"/>
        </w:rPr>
      </w:pPr>
      <w:r>
        <w:rPr>
          <w:rFonts w:eastAsia="黑体"/>
          <w:snapToGrid w:val="0"/>
          <w:kern w:val="0"/>
          <w:sz w:val="24"/>
        </w:rPr>
        <w:br w:type="page"/>
      </w:r>
    </w:p>
    <w:p>
      <w:pPr>
        <w:spacing w:line="400" w:lineRule="atLeast"/>
        <w:ind w:firstLine="0" w:firstLineChars="0"/>
        <w:jc w:val="center"/>
        <w:outlineLvl w:val="2"/>
        <w:rPr>
          <w:rFonts w:eastAsia="黑体"/>
          <w:sz w:val="29"/>
          <w:szCs w:val="29"/>
        </w:rPr>
      </w:pPr>
      <w:bookmarkStart w:id="479" w:name="_Toc133311768"/>
      <w:bookmarkStart w:id="480" w:name="_Toc98148184"/>
      <w:bookmarkStart w:id="481" w:name="_Toc14201394"/>
      <w:bookmarkStart w:id="482" w:name="_Toc9067788"/>
      <w:bookmarkStart w:id="483" w:name="_Toc26657063"/>
      <w:bookmarkStart w:id="484" w:name="_Toc138689430"/>
      <w:bookmarkStart w:id="485" w:name="_Toc131087906"/>
      <w:r>
        <w:rPr>
          <w:rFonts w:eastAsia="黑体"/>
          <w:sz w:val="29"/>
          <w:szCs w:val="29"/>
        </w:rPr>
        <w:t>B. 项目专用合同条款</w:t>
      </w:r>
      <w:bookmarkEnd w:id="479"/>
      <w:bookmarkEnd w:id="480"/>
      <w:bookmarkEnd w:id="481"/>
      <w:bookmarkEnd w:id="482"/>
      <w:bookmarkEnd w:id="483"/>
      <w:bookmarkEnd w:id="484"/>
      <w:bookmarkEnd w:id="485"/>
    </w:p>
    <w:p>
      <w:pPr>
        <w:spacing w:line="440" w:lineRule="exact"/>
        <w:ind w:firstLine="0" w:firstLineChars="0"/>
        <w:rPr>
          <w:rFonts w:eastAsia="黑体"/>
          <w:sz w:val="27"/>
          <w:szCs w:val="27"/>
        </w:rPr>
      </w:pPr>
    </w:p>
    <w:p>
      <w:pPr>
        <w:spacing w:line="360" w:lineRule="auto"/>
        <w:ind w:firstLine="199" w:firstLineChars="83"/>
        <w:rPr>
          <w:sz w:val="24"/>
        </w:rPr>
      </w:pPr>
      <w:r>
        <w:rPr>
          <w:sz w:val="24"/>
        </w:rPr>
        <w:t>说  明：</w:t>
      </w:r>
    </w:p>
    <w:p>
      <w:pPr>
        <w:spacing w:line="360" w:lineRule="auto"/>
        <w:ind w:firstLine="480"/>
        <w:rPr>
          <w:sz w:val="24"/>
        </w:rPr>
      </w:pPr>
      <w:r>
        <w:rPr>
          <w:sz w:val="24"/>
        </w:rPr>
        <w:t>1.招标</w:t>
      </w:r>
      <w:r>
        <w:rPr>
          <w:rFonts w:hint="eastAsia" w:ascii="宋体" w:hAnsi="宋体" w:cs="宋体"/>
          <w:sz w:val="24"/>
        </w:rPr>
        <w:t>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可做出不同约定外，补充和细化的内容不得与“通用合同条款”及“公路工程专用合同条款”强制性规定相抵触。同时，补</w:t>
      </w:r>
      <w:r>
        <w:rPr>
          <w:sz w:val="24"/>
        </w:rPr>
        <w:t>充、细化或约定的不同内容，不得违反法律、行政法规的强制性规定和平等、自愿、公平和诚实信用原则。</w:t>
      </w:r>
    </w:p>
    <w:p>
      <w:pPr>
        <w:spacing w:line="360" w:lineRule="auto"/>
        <w:ind w:firstLine="480"/>
        <w:rPr>
          <w:sz w:val="24"/>
        </w:rPr>
      </w:pPr>
      <w:r>
        <w:rPr>
          <w:sz w:val="24"/>
        </w:rPr>
        <w:t>2.项目专用合同条款的编号应与通用合同条款和公路工程专用合同条款一致。</w:t>
      </w:r>
    </w:p>
    <w:p>
      <w:pPr>
        <w:spacing w:line="360" w:lineRule="auto"/>
        <w:ind w:firstLine="480"/>
        <w:rPr>
          <w:sz w:val="24"/>
        </w:rPr>
      </w:pPr>
      <w:r>
        <w:rPr>
          <w:sz w:val="24"/>
        </w:rPr>
        <w:t>3.项目专用合同条款可对下列内容进行补充和细化：</w:t>
      </w:r>
    </w:p>
    <w:p>
      <w:pPr>
        <w:spacing w:line="360" w:lineRule="auto"/>
        <w:ind w:firstLine="480"/>
        <w:rPr>
          <w:sz w:val="24"/>
        </w:rPr>
      </w:pPr>
      <w:r>
        <w:rPr>
          <w:sz w:val="24"/>
        </w:rPr>
        <w:t>（1）</w:t>
      </w:r>
      <w:r>
        <w:rPr>
          <w:rFonts w:hint="eastAsia" w:ascii="宋体" w:hAnsi="宋体" w:cs="宋体"/>
          <w:sz w:val="24"/>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r>
        <w:rPr>
          <w:sz w:val="24"/>
        </w:rPr>
        <w:t>；</w:t>
      </w:r>
    </w:p>
    <w:p>
      <w:pPr>
        <w:spacing w:line="360" w:lineRule="auto"/>
        <w:ind w:firstLine="480"/>
        <w:rPr>
          <w:sz w:val="24"/>
        </w:rPr>
      </w:pPr>
      <w:r>
        <w:rPr>
          <w:sz w:val="24"/>
        </w:rPr>
        <w:t>（2）</w:t>
      </w:r>
      <w:r>
        <w:rPr>
          <w:rFonts w:hint="eastAsia" w:ascii="宋体" w:hAnsi="宋体" w:cs="宋体"/>
          <w:sz w:val="24"/>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r>
        <w:rPr>
          <w:sz w:val="24"/>
        </w:rPr>
        <w:t>。</w:t>
      </w:r>
    </w:p>
    <w:p>
      <w:pPr>
        <w:snapToGrid w:val="0"/>
        <w:spacing w:after="120" w:line="400" w:lineRule="atLeast"/>
        <w:ind w:firstLine="720" w:firstLineChars="300"/>
        <w:rPr>
          <w:rFonts w:eastAsia="黑体"/>
          <w:sz w:val="24"/>
        </w:rPr>
      </w:pPr>
      <w:r>
        <w:rPr>
          <w:sz w:val="24"/>
        </w:rPr>
        <w:t>（3）其他需要补充、细化的内容。</w:t>
      </w:r>
    </w:p>
    <w:p>
      <w:pPr>
        <w:snapToGrid w:val="0"/>
        <w:spacing w:line="400" w:lineRule="atLeast"/>
        <w:ind w:firstLine="0" w:firstLineChars="0"/>
        <w:jc w:val="center"/>
        <w:rPr>
          <w:rFonts w:eastAsia="黑体"/>
          <w:sz w:val="28"/>
        </w:rPr>
      </w:pPr>
      <w:r>
        <w:rPr>
          <w:rFonts w:eastAsia="黑体"/>
          <w:sz w:val="28"/>
        </w:rPr>
        <w:br w:type="page"/>
      </w:r>
      <w:r>
        <w:rPr>
          <w:rFonts w:eastAsia="黑体"/>
          <w:sz w:val="28"/>
        </w:rPr>
        <w:t>项目专用合同条款数据表</w:t>
      </w:r>
    </w:p>
    <w:p>
      <w:pPr>
        <w:snapToGrid w:val="0"/>
        <w:spacing w:line="400" w:lineRule="atLeast"/>
        <w:ind w:firstLine="0" w:firstLineChars="0"/>
        <w:jc w:val="center"/>
        <w:rPr>
          <w:rFonts w:eastAsia="黑体"/>
          <w:sz w:val="28"/>
        </w:rPr>
      </w:pPr>
    </w:p>
    <w:p>
      <w:pPr>
        <w:snapToGrid w:val="0"/>
        <w:spacing w:line="400" w:lineRule="atLeast"/>
        <w:ind w:left="660" w:hanging="660" w:hangingChars="275"/>
        <w:rPr>
          <w:sz w:val="24"/>
        </w:rPr>
      </w:pPr>
      <w:r>
        <w:rPr>
          <w:rFonts w:eastAsia="黑体"/>
          <w:sz w:val="24"/>
        </w:rPr>
        <w:t>说明：</w:t>
      </w:r>
      <w:r>
        <w:rPr>
          <w:sz w:val="24"/>
        </w:rPr>
        <w:t xml:space="preserve"> 本数据表是项目专用合同条款中适用于本项目的信息和数据的归纳与提示，是项目专用合同条款的组成部分。</w:t>
      </w:r>
    </w:p>
    <w:p>
      <w:pPr>
        <w:snapToGrid w:val="0"/>
        <w:spacing w:line="400" w:lineRule="atLeast"/>
        <w:ind w:left="660" w:hanging="660" w:hangingChars="275"/>
        <w:rPr>
          <w:sz w:val="24"/>
        </w:rPr>
      </w:pPr>
    </w:p>
    <w:tbl>
      <w:tblPr>
        <w:tblStyle w:val="56"/>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114"/>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2" w:type="dxa"/>
            <w:vAlign w:val="center"/>
          </w:tcPr>
          <w:p>
            <w:pPr>
              <w:snapToGrid w:val="0"/>
              <w:spacing w:line="400" w:lineRule="atLeast"/>
              <w:ind w:firstLine="0" w:firstLineChars="0"/>
              <w:jc w:val="center"/>
              <w:rPr>
                <w:b/>
                <w:sz w:val="24"/>
              </w:rPr>
            </w:pPr>
            <w:r>
              <w:rPr>
                <w:b/>
                <w:sz w:val="24"/>
              </w:rPr>
              <w:t>序号</w:t>
            </w:r>
          </w:p>
        </w:tc>
        <w:tc>
          <w:tcPr>
            <w:tcW w:w="1114" w:type="dxa"/>
            <w:vAlign w:val="center"/>
          </w:tcPr>
          <w:p>
            <w:pPr>
              <w:snapToGrid w:val="0"/>
              <w:spacing w:line="400" w:lineRule="atLeast"/>
              <w:ind w:left="-105" w:leftChars="-50" w:right="-105" w:rightChars="-50" w:firstLine="0" w:firstLineChars="0"/>
              <w:jc w:val="center"/>
              <w:rPr>
                <w:b/>
                <w:sz w:val="24"/>
              </w:rPr>
            </w:pPr>
            <w:r>
              <w:rPr>
                <w:b/>
                <w:sz w:val="24"/>
              </w:rPr>
              <w:t>条目号</w:t>
            </w:r>
          </w:p>
        </w:tc>
        <w:tc>
          <w:tcPr>
            <w:tcW w:w="7327" w:type="dxa"/>
            <w:vAlign w:val="center"/>
          </w:tcPr>
          <w:p>
            <w:pPr>
              <w:snapToGrid w:val="0"/>
              <w:spacing w:line="400" w:lineRule="atLeast"/>
              <w:ind w:firstLine="0" w:firstLineChars="0"/>
              <w:jc w:val="center"/>
              <w:rPr>
                <w:b/>
                <w:sz w:val="24"/>
              </w:rPr>
            </w:pPr>
            <w:r>
              <w:rPr>
                <w:b/>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1</w:t>
            </w:r>
          </w:p>
        </w:tc>
        <w:tc>
          <w:tcPr>
            <w:tcW w:w="1114" w:type="dxa"/>
            <w:vAlign w:val="center"/>
          </w:tcPr>
          <w:p>
            <w:pPr>
              <w:snapToGrid w:val="0"/>
              <w:spacing w:line="400" w:lineRule="atLeast"/>
              <w:ind w:firstLine="0" w:firstLineChars="0"/>
              <w:jc w:val="center"/>
              <w:rPr>
                <w:sz w:val="24"/>
              </w:rPr>
            </w:pPr>
            <w:r>
              <w:rPr>
                <w:sz w:val="24"/>
              </w:rPr>
              <w:t>1.1.2.2</w:t>
            </w:r>
          </w:p>
        </w:tc>
        <w:tc>
          <w:tcPr>
            <w:tcW w:w="7327" w:type="dxa"/>
            <w:vAlign w:val="center"/>
          </w:tcPr>
          <w:p>
            <w:pPr>
              <w:snapToGrid w:val="0"/>
              <w:spacing w:line="400" w:lineRule="atLeast"/>
              <w:ind w:firstLine="0" w:firstLineChars="0"/>
              <w:rPr>
                <w:rFonts w:hint="eastAsia" w:eastAsia="宋体"/>
                <w:sz w:val="24"/>
                <w:lang w:eastAsia="zh-CN"/>
              </w:rPr>
            </w:pPr>
            <w:r>
              <w:rPr>
                <w:sz w:val="24"/>
              </w:rPr>
              <w:t>发 包 人：</w:t>
            </w:r>
            <w:r>
              <w:rPr>
                <w:rFonts w:hint="eastAsia"/>
                <w:sz w:val="24"/>
                <w:highlight w:val="none"/>
                <w:lang w:eastAsia="zh-CN"/>
              </w:rPr>
              <w:t>肥东县桥头集镇人民政府</w:t>
            </w:r>
          </w:p>
          <w:p>
            <w:pPr>
              <w:snapToGrid w:val="0"/>
              <w:spacing w:line="400" w:lineRule="atLeast"/>
              <w:ind w:firstLine="0" w:firstLineChars="0"/>
              <w:rPr>
                <w:sz w:val="24"/>
              </w:rPr>
            </w:pPr>
            <w:r>
              <w:rPr>
                <w:sz w:val="24"/>
              </w:rPr>
              <w:t>地    址：</w:t>
            </w:r>
            <w:r>
              <w:rPr>
                <w:sz w:val="24"/>
                <w:u w:val="single"/>
              </w:rPr>
              <w:t xml:space="preserve">      </w:t>
            </w:r>
            <w:r>
              <w:rPr>
                <w:sz w:val="24"/>
              </w:rPr>
              <w:t>邮政编码：</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2</w:t>
            </w:r>
          </w:p>
        </w:tc>
        <w:tc>
          <w:tcPr>
            <w:tcW w:w="1114" w:type="dxa"/>
            <w:vAlign w:val="center"/>
          </w:tcPr>
          <w:p>
            <w:pPr>
              <w:snapToGrid w:val="0"/>
              <w:spacing w:line="400" w:lineRule="atLeast"/>
              <w:ind w:firstLine="0" w:firstLineChars="0"/>
              <w:jc w:val="center"/>
              <w:rPr>
                <w:sz w:val="24"/>
              </w:rPr>
            </w:pPr>
            <w:r>
              <w:rPr>
                <w:sz w:val="24"/>
              </w:rPr>
              <w:t>1.1.2.6</w:t>
            </w:r>
          </w:p>
        </w:tc>
        <w:tc>
          <w:tcPr>
            <w:tcW w:w="7327" w:type="dxa"/>
            <w:vAlign w:val="center"/>
          </w:tcPr>
          <w:p>
            <w:pPr>
              <w:snapToGrid w:val="0"/>
              <w:spacing w:line="400" w:lineRule="atLeast"/>
              <w:ind w:firstLine="0" w:firstLineChars="0"/>
              <w:rPr>
                <w:sz w:val="24"/>
              </w:rPr>
            </w:pPr>
            <w:r>
              <w:rPr>
                <w:sz w:val="24"/>
              </w:rPr>
              <w:t>监 理 人：</w:t>
            </w:r>
            <w:r>
              <w:rPr>
                <w:sz w:val="24"/>
                <w:u w:val="single"/>
              </w:rPr>
              <w:t xml:space="preserve">      </w:t>
            </w:r>
          </w:p>
          <w:p>
            <w:pPr>
              <w:snapToGrid w:val="0"/>
              <w:spacing w:line="400" w:lineRule="atLeast"/>
              <w:ind w:firstLine="0" w:firstLineChars="0"/>
              <w:rPr>
                <w:sz w:val="24"/>
              </w:rPr>
            </w:pPr>
            <w:r>
              <w:rPr>
                <w:sz w:val="24"/>
              </w:rPr>
              <w:t>地    址：</w:t>
            </w:r>
            <w:r>
              <w:rPr>
                <w:sz w:val="24"/>
                <w:u w:val="single"/>
              </w:rPr>
              <w:t xml:space="preserve">      </w:t>
            </w:r>
            <w:r>
              <w:rPr>
                <w:sz w:val="24"/>
              </w:rPr>
              <w:t>邮政编码：</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3</w:t>
            </w:r>
          </w:p>
        </w:tc>
        <w:tc>
          <w:tcPr>
            <w:tcW w:w="1114" w:type="dxa"/>
            <w:vAlign w:val="center"/>
          </w:tcPr>
          <w:p>
            <w:pPr>
              <w:snapToGrid w:val="0"/>
              <w:spacing w:line="400" w:lineRule="atLeast"/>
              <w:ind w:firstLine="0" w:firstLineChars="0"/>
              <w:jc w:val="center"/>
              <w:rPr>
                <w:sz w:val="24"/>
              </w:rPr>
            </w:pPr>
            <w:r>
              <w:rPr>
                <w:sz w:val="24"/>
              </w:rPr>
              <w:t>1.1.4.5</w:t>
            </w:r>
          </w:p>
        </w:tc>
        <w:tc>
          <w:tcPr>
            <w:tcW w:w="7327" w:type="dxa"/>
            <w:vAlign w:val="center"/>
          </w:tcPr>
          <w:p>
            <w:pPr>
              <w:snapToGrid w:val="0"/>
              <w:spacing w:line="400" w:lineRule="atLeast"/>
              <w:ind w:firstLine="0" w:firstLineChars="0"/>
              <w:rPr>
                <w:sz w:val="24"/>
              </w:rPr>
            </w:pPr>
            <w:r>
              <w:rPr>
                <w:sz w:val="24"/>
              </w:rPr>
              <w:t>缺陷责任期：自实际交工日期起计算</w:t>
            </w:r>
            <w:r>
              <w:rPr>
                <w:rFonts w:hint="eastAsia"/>
                <w:sz w:val="24"/>
                <w:u w:val="single"/>
              </w:rPr>
              <w:t xml:space="preserve"> 2 </w:t>
            </w:r>
            <w:r>
              <w:rPr>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4</w:t>
            </w:r>
          </w:p>
        </w:tc>
        <w:tc>
          <w:tcPr>
            <w:tcW w:w="1114" w:type="dxa"/>
            <w:vAlign w:val="center"/>
          </w:tcPr>
          <w:p>
            <w:pPr>
              <w:snapToGrid w:val="0"/>
              <w:spacing w:line="400" w:lineRule="atLeast"/>
              <w:ind w:firstLine="0" w:firstLineChars="0"/>
              <w:jc w:val="center"/>
              <w:rPr>
                <w:sz w:val="24"/>
              </w:rPr>
            </w:pPr>
            <w:r>
              <w:rPr>
                <w:sz w:val="24"/>
              </w:rPr>
              <w:t>1.6.3</w:t>
            </w:r>
          </w:p>
        </w:tc>
        <w:tc>
          <w:tcPr>
            <w:tcW w:w="7327" w:type="dxa"/>
            <w:vAlign w:val="center"/>
          </w:tcPr>
          <w:p>
            <w:pPr>
              <w:snapToGrid w:val="0"/>
              <w:spacing w:line="400" w:lineRule="atLeast"/>
              <w:ind w:firstLine="0" w:firstLineChars="0"/>
              <w:rPr>
                <w:sz w:val="24"/>
              </w:rPr>
            </w:pPr>
            <w:r>
              <w:rPr>
                <w:sz w:val="24"/>
              </w:rPr>
              <w:t>图纸需要修改和补充的，应由监理人取得发包人同意后，在该工程或工程相应部位施工前</w:t>
            </w:r>
            <w:r>
              <w:rPr>
                <w:sz w:val="24"/>
                <w:u w:val="single"/>
              </w:rPr>
              <w:t xml:space="preserve"> </w:t>
            </w:r>
            <w:r>
              <w:rPr>
                <w:rFonts w:hint="eastAsia"/>
                <w:sz w:val="24"/>
                <w:u w:val="single"/>
              </w:rPr>
              <w:t xml:space="preserve">2 </w:t>
            </w:r>
            <w:r>
              <w:rPr>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rFonts w:hint="eastAsia"/>
                <w:sz w:val="24"/>
              </w:rPr>
              <w:t>5</w:t>
            </w:r>
          </w:p>
        </w:tc>
        <w:tc>
          <w:tcPr>
            <w:tcW w:w="1114" w:type="dxa"/>
            <w:vAlign w:val="center"/>
          </w:tcPr>
          <w:p>
            <w:pPr>
              <w:snapToGrid w:val="0"/>
              <w:spacing w:line="400" w:lineRule="atLeast"/>
              <w:ind w:firstLine="0" w:firstLineChars="0"/>
              <w:jc w:val="center"/>
              <w:rPr>
                <w:sz w:val="24"/>
              </w:rPr>
            </w:pPr>
            <w:r>
              <w:rPr>
                <w:rFonts w:hint="eastAsia"/>
                <w:sz w:val="24"/>
              </w:rPr>
              <w:t>2.6.1</w:t>
            </w:r>
          </w:p>
        </w:tc>
        <w:tc>
          <w:tcPr>
            <w:tcW w:w="7327" w:type="dxa"/>
            <w:vAlign w:val="center"/>
          </w:tcPr>
          <w:p>
            <w:pPr>
              <w:snapToGrid w:val="0"/>
              <w:spacing w:line="400" w:lineRule="atLeast"/>
              <w:ind w:firstLine="0" w:firstLineChars="0"/>
              <w:rPr>
                <w:sz w:val="24"/>
              </w:rPr>
            </w:pPr>
            <w:r>
              <w:rPr>
                <w:rFonts w:hint="eastAsia"/>
                <w:sz w:val="24"/>
              </w:rPr>
              <w:t>发包人向承包人提供工程款支付担保的时间：合同签订后30天内。</w:t>
            </w:r>
          </w:p>
          <w:p>
            <w:pPr>
              <w:snapToGrid w:val="0"/>
              <w:spacing w:line="400" w:lineRule="atLeast"/>
              <w:ind w:firstLine="0" w:firstLineChars="0"/>
              <w:rPr>
                <w:sz w:val="24"/>
              </w:rPr>
            </w:pPr>
            <w:r>
              <w:rPr>
                <w:rFonts w:hint="eastAsia"/>
                <w:sz w:val="24"/>
              </w:rPr>
              <w:t>工程款支付担保的金额：施工合同额的8%。</w:t>
            </w:r>
          </w:p>
          <w:p>
            <w:pPr>
              <w:snapToGrid w:val="0"/>
              <w:spacing w:line="400" w:lineRule="atLeast"/>
              <w:ind w:firstLine="0" w:firstLineChars="0"/>
              <w:rPr>
                <w:sz w:val="24"/>
              </w:rPr>
            </w:pPr>
            <w:r>
              <w:rPr>
                <w:rFonts w:hint="eastAsia"/>
                <w:sz w:val="24"/>
              </w:rPr>
              <w:t>工程款支付担保可采用的其他形式：</w:t>
            </w:r>
            <w:r>
              <w:rPr>
                <w:rFonts w:hint="eastAsia"/>
                <w:bCs/>
                <w:sz w:val="24"/>
                <w:u w:val="single"/>
              </w:rPr>
              <w:t>工程款支付担保可以采用银行保函、保证保险、工程担保公司担保等方式。银行保函、保证保险和工程担保保单应当为不可撤销的保证。对于政府投资的工程建设项目，发包人可以提供财政等政府有权部门出具的落实项目建设资金保障证明作为工程款支付担保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5</w:t>
            </w:r>
          </w:p>
        </w:tc>
        <w:tc>
          <w:tcPr>
            <w:tcW w:w="1114" w:type="dxa"/>
            <w:vAlign w:val="center"/>
          </w:tcPr>
          <w:p>
            <w:pPr>
              <w:snapToGrid w:val="0"/>
              <w:spacing w:line="400" w:lineRule="atLeast"/>
              <w:ind w:firstLine="0" w:firstLineChars="0"/>
              <w:jc w:val="center"/>
              <w:rPr>
                <w:sz w:val="24"/>
              </w:rPr>
            </w:pPr>
            <w:r>
              <w:rPr>
                <w:sz w:val="24"/>
              </w:rPr>
              <w:t>3.1.1</w:t>
            </w:r>
          </w:p>
        </w:tc>
        <w:tc>
          <w:tcPr>
            <w:tcW w:w="7327" w:type="dxa"/>
            <w:vAlign w:val="center"/>
          </w:tcPr>
          <w:p>
            <w:pPr>
              <w:spacing w:line="400" w:lineRule="atLeast"/>
              <w:ind w:firstLine="0" w:firstLineChars="0"/>
              <w:rPr>
                <w:sz w:val="24"/>
              </w:rPr>
            </w:pPr>
            <w:r>
              <w:rPr>
                <w:sz w:val="24"/>
              </w:rPr>
              <w:t>监理人在行使下列权力前需要经发包人事先批准：</w:t>
            </w:r>
          </w:p>
          <w:p>
            <w:pPr>
              <w:snapToGrid w:val="0"/>
              <w:spacing w:line="400" w:lineRule="atLeast"/>
              <w:ind w:firstLine="0" w:firstLineChars="0"/>
              <w:rPr>
                <w:spacing w:val="-6"/>
                <w:sz w:val="24"/>
              </w:rPr>
            </w:pPr>
            <w:r>
              <w:rPr>
                <w:spacing w:val="-6"/>
                <w:sz w:val="24"/>
              </w:rPr>
              <w:t>（6）根据第15.3款发出的变更指示，其单项工程变更涉及的金额超过了该单项工程签约时合同价的</w:t>
            </w:r>
            <w:r>
              <w:rPr>
                <w:spacing w:val="-6"/>
                <w:sz w:val="24"/>
                <w:u w:val="single"/>
              </w:rPr>
              <w:t xml:space="preserve"> </w:t>
            </w:r>
            <w:r>
              <w:rPr>
                <w:rFonts w:hint="eastAsia"/>
                <w:spacing w:val="-6"/>
                <w:sz w:val="24"/>
                <w:u w:val="single"/>
              </w:rPr>
              <w:t>/</w:t>
            </w:r>
            <w:r>
              <w:rPr>
                <w:spacing w:val="-6"/>
                <w:sz w:val="24"/>
                <w:u w:val="single"/>
              </w:rPr>
              <w:t xml:space="preserve"> </w:t>
            </w:r>
            <w:r>
              <w:rPr>
                <w:spacing w:val="-6"/>
                <w:sz w:val="24"/>
              </w:rPr>
              <w:t>%或累计变更超过了签约合同价的</w:t>
            </w:r>
            <w:r>
              <w:rPr>
                <w:spacing w:val="-6"/>
                <w:sz w:val="24"/>
                <w:u w:val="single"/>
              </w:rPr>
              <w:t xml:space="preserve"> </w:t>
            </w:r>
            <w:r>
              <w:rPr>
                <w:rFonts w:hint="eastAsia"/>
                <w:spacing w:val="-6"/>
                <w:sz w:val="24"/>
                <w:u w:val="single"/>
              </w:rPr>
              <w:t>/</w:t>
            </w:r>
            <w:r>
              <w:rPr>
                <w:spacing w:val="-6"/>
                <w:sz w:val="24"/>
                <w:u w:val="single"/>
              </w:rPr>
              <w:t xml:space="preserve"> </w:t>
            </w:r>
            <w:r>
              <w:rPr>
                <w:spacing w:val="-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 w:type="dxa"/>
            <w:vAlign w:val="center"/>
          </w:tcPr>
          <w:p>
            <w:pPr>
              <w:snapToGrid w:val="0"/>
              <w:spacing w:line="400" w:lineRule="atLeast"/>
              <w:ind w:firstLine="0" w:firstLineChars="0"/>
              <w:jc w:val="center"/>
              <w:rPr>
                <w:sz w:val="24"/>
              </w:rPr>
            </w:pPr>
            <w:r>
              <w:rPr>
                <w:sz w:val="24"/>
              </w:rPr>
              <w:t>6</w:t>
            </w:r>
          </w:p>
        </w:tc>
        <w:tc>
          <w:tcPr>
            <w:tcW w:w="1114" w:type="dxa"/>
            <w:vAlign w:val="center"/>
          </w:tcPr>
          <w:p>
            <w:pPr>
              <w:snapToGrid w:val="0"/>
              <w:spacing w:line="400" w:lineRule="atLeast"/>
              <w:ind w:firstLine="0" w:firstLineChars="0"/>
              <w:jc w:val="center"/>
              <w:rPr>
                <w:sz w:val="24"/>
              </w:rPr>
            </w:pPr>
            <w:r>
              <w:rPr>
                <w:sz w:val="24"/>
              </w:rPr>
              <w:t>5.2.1</w:t>
            </w:r>
          </w:p>
        </w:tc>
        <w:tc>
          <w:tcPr>
            <w:tcW w:w="7327" w:type="dxa"/>
            <w:tcBorders>
              <w:bottom w:val="single" w:color="auto" w:sz="4" w:space="0"/>
            </w:tcBorders>
            <w:vAlign w:val="center"/>
          </w:tcPr>
          <w:p>
            <w:pPr>
              <w:spacing w:line="400" w:lineRule="atLeast"/>
              <w:ind w:firstLine="0" w:firstLineChars="0"/>
              <w:rPr>
                <w:sz w:val="24"/>
              </w:rPr>
            </w:pPr>
            <w:r>
              <w:rPr>
                <w:sz w:val="24"/>
              </w:rPr>
              <w:t>发包人是否提供材料或工程设备：</w:t>
            </w:r>
            <w:r>
              <w:rPr>
                <w:sz w:val="24"/>
                <w:u w:val="single"/>
              </w:rPr>
              <w:t xml:space="preserve"> 否  </w:t>
            </w:r>
          </w:p>
          <w:p>
            <w:pPr>
              <w:spacing w:line="400" w:lineRule="atLeast"/>
              <w:ind w:firstLine="0" w:firstLineChars="0"/>
              <w:rPr>
                <w:sz w:val="24"/>
                <w:u w:val="single"/>
              </w:rPr>
            </w:pPr>
            <w:r>
              <w:rPr>
                <w:sz w:val="24"/>
              </w:rPr>
              <w:t>如发包人负责提供部分材料或工程设备，相关规定如下：</w:t>
            </w:r>
            <w:r>
              <w:rPr>
                <w:sz w:val="24"/>
                <w:u w:val="single"/>
              </w:rPr>
              <w:t xml:space="preserve">    </w:t>
            </w:r>
            <w:r>
              <w:rPr>
                <w:rFonts w:hint="eastAsia"/>
                <w:sz w:val="24"/>
                <w:u w:val="single"/>
              </w:rPr>
              <w:t>/</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 w:type="dxa"/>
            <w:vAlign w:val="center"/>
          </w:tcPr>
          <w:p>
            <w:pPr>
              <w:snapToGrid w:val="0"/>
              <w:spacing w:line="400" w:lineRule="atLeast"/>
              <w:ind w:firstLine="0" w:firstLineChars="0"/>
              <w:jc w:val="center"/>
              <w:rPr>
                <w:sz w:val="24"/>
              </w:rPr>
            </w:pPr>
            <w:r>
              <w:rPr>
                <w:sz w:val="24"/>
              </w:rPr>
              <w:t>7</w:t>
            </w:r>
          </w:p>
        </w:tc>
        <w:tc>
          <w:tcPr>
            <w:tcW w:w="1114" w:type="dxa"/>
            <w:vAlign w:val="center"/>
          </w:tcPr>
          <w:p>
            <w:pPr>
              <w:snapToGrid w:val="0"/>
              <w:spacing w:line="400" w:lineRule="atLeast"/>
              <w:ind w:firstLine="0" w:firstLineChars="0"/>
              <w:jc w:val="center"/>
              <w:rPr>
                <w:sz w:val="24"/>
              </w:rPr>
            </w:pPr>
            <w:r>
              <w:rPr>
                <w:sz w:val="24"/>
              </w:rPr>
              <w:t>6.2</w:t>
            </w:r>
          </w:p>
        </w:tc>
        <w:tc>
          <w:tcPr>
            <w:tcW w:w="7327" w:type="dxa"/>
            <w:tcBorders>
              <w:bottom w:val="single" w:color="auto" w:sz="4" w:space="0"/>
            </w:tcBorders>
            <w:vAlign w:val="center"/>
          </w:tcPr>
          <w:p>
            <w:pPr>
              <w:spacing w:line="400" w:lineRule="atLeast"/>
              <w:ind w:firstLine="0" w:firstLineChars="0"/>
              <w:rPr>
                <w:sz w:val="24"/>
              </w:rPr>
            </w:pPr>
            <w:r>
              <w:rPr>
                <w:sz w:val="24"/>
              </w:rPr>
              <w:t>发包人是否提供施工设备和临时设施：</w:t>
            </w:r>
            <w:r>
              <w:rPr>
                <w:sz w:val="24"/>
                <w:u w:val="single"/>
              </w:rPr>
              <w:t xml:space="preserve">否  </w:t>
            </w:r>
          </w:p>
          <w:p>
            <w:pPr>
              <w:spacing w:line="400" w:lineRule="atLeast"/>
              <w:ind w:firstLine="0" w:firstLineChars="0"/>
              <w:rPr>
                <w:sz w:val="24"/>
                <w:u w:val="single"/>
              </w:rPr>
            </w:pPr>
            <w:r>
              <w:rPr>
                <w:sz w:val="24"/>
              </w:rPr>
              <w:t>如发包人负责提供部分施工设备和临时设施，相关规定如下：</w:t>
            </w:r>
            <w:r>
              <w:rPr>
                <w:sz w:val="24"/>
                <w:u w:val="single"/>
              </w:rPr>
              <w:t xml:space="preserve">  </w:t>
            </w:r>
            <w:r>
              <w:rPr>
                <w:rFonts w:hint="eastAsia"/>
                <w:sz w:val="24"/>
                <w:u w:val="single"/>
              </w:rPr>
              <w:t>/</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 w:type="dxa"/>
            <w:vAlign w:val="center"/>
          </w:tcPr>
          <w:p>
            <w:pPr>
              <w:snapToGrid w:val="0"/>
              <w:spacing w:line="400" w:lineRule="atLeast"/>
              <w:ind w:firstLine="0" w:firstLineChars="0"/>
              <w:jc w:val="center"/>
              <w:rPr>
                <w:sz w:val="24"/>
              </w:rPr>
            </w:pPr>
            <w:r>
              <w:rPr>
                <w:sz w:val="24"/>
              </w:rPr>
              <w:t>8</w:t>
            </w:r>
          </w:p>
        </w:tc>
        <w:tc>
          <w:tcPr>
            <w:tcW w:w="1114" w:type="dxa"/>
            <w:vAlign w:val="center"/>
          </w:tcPr>
          <w:p>
            <w:pPr>
              <w:snapToGrid w:val="0"/>
              <w:spacing w:line="400" w:lineRule="atLeast"/>
              <w:ind w:firstLine="0" w:firstLineChars="0"/>
              <w:jc w:val="center"/>
              <w:rPr>
                <w:sz w:val="24"/>
              </w:rPr>
            </w:pPr>
            <w:r>
              <w:rPr>
                <w:sz w:val="24"/>
              </w:rPr>
              <w:t>8.1.1</w:t>
            </w:r>
          </w:p>
        </w:tc>
        <w:tc>
          <w:tcPr>
            <w:tcW w:w="7327" w:type="dxa"/>
            <w:tcBorders>
              <w:bottom w:val="single" w:color="auto" w:sz="4" w:space="0"/>
            </w:tcBorders>
            <w:vAlign w:val="center"/>
          </w:tcPr>
          <w:p>
            <w:pPr>
              <w:spacing w:line="400" w:lineRule="atLeast"/>
              <w:ind w:firstLine="0" w:firstLineChars="0"/>
              <w:rPr>
                <w:sz w:val="24"/>
              </w:rPr>
            </w:pPr>
            <w:r>
              <w:rPr>
                <w:sz w:val="24"/>
              </w:rPr>
              <w:t>发包人提供测量基准点、基准线和水准点及其书面资料的期限：</w:t>
            </w:r>
            <w:r>
              <w:rPr>
                <w:rFonts w:hint="eastAsia"/>
                <w:sz w:val="24"/>
                <w:u w:val="single"/>
              </w:rPr>
              <w:t>发出</w:t>
            </w:r>
            <w:r>
              <w:rPr>
                <w:sz w:val="24"/>
                <w:u w:val="single"/>
              </w:rPr>
              <w:t xml:space="preserve">开工令前  </w:t>
            </w:r>
          </w:p>
          <w:p>
            <w:pPr>
              <w:spacing w:line="400" w:lineRule="atLeast"/>
              <w:ind w:firstLine="0" w:firstLineChars="0"/>
              <w:rPr>
                <w:sz w:val="24"/>
                <w:u w:val="single"/>
              </w:rPr>
            </w:pPr>
            <w:r>
              <w:rPr>
                <w:sz w:val="24"/>
              </w:rPr>
              <w:t>承包人将施工控制网资料报送监理人审批的期限：</w:t>
            </w:r>
            <w:r>
              <w:rPr>
                <w:rFonts w:hint="eastAsia"/>
                <w:sz w:val="24"/>
                <w:u w:val="single"/>
              </w:rPr>
              <w:t>7天内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9</w:t>
            </w:r>
          </w:p>
        </w:tc>
        <w:tc>
          <w:tcPr>
            <w:tcW w:w="1114" w:type="dxa"/>
            <w:vAlign w:val="center"/>
          </w:tcPr>
          <w:p>
            <w:pPr>
              <w:snapToGrid w:val="0"/>
              <w:spacing w:line="400" w:lineRule="atLeast"/>
              <w:ind w:firstLine="0" w:firstLineChars="0"/>
              <w:jc w:val="center"/>
              <w:rPr>
                <w:sz w:val="24"/>
              </w:rPr>
            </w:pPr>
            <w:r>
              <w:rPr>
                <w:sz w:val="24"/>
              </w:rPr>
              <w:t>11.5</w:t>
            </w:r>
            <w:r>
              <w:rPr>
                <w:rFonts w:hint="eastAsia"/>
                <w:sz w:val="24"/>
              </w:rPr>
              <w:t>（3）</w:t>
            </w:r>
          </w:p>
        </w:tc>
        <w:tc>
          <w:tcPr>
            <w:tcW w:w="7327" w:type="dxa"/>
            <w:vAlign w:val="center"/>
          </w:tcPr>
          <w:p>
            <w:pPr>
              <w:snapToGrid w:val="0"/>
              <w:spacing w:line="400" w:lineRule="atLeast"/>
              <w:ind w:firstLine="0" w:firstLineChars="0"/>
              <w:rPr>
                <w:sz w:val="24"/>
              </w:rPr>
            </w:pPr>
            <w:r>
              <w:rPr>
                <w:sz w:val="24"/>
              </w:rPr>
              <w:t>逾期交工违约金：</w:t>
            </w:r>
            <w:r>
              <w:rPr>
                <w:rFonts w:hint="eastAsia"/>
                <w:sz w:val="24"/>
                <w:u w:val="single"/>
              </w:rPr>
              <w:t xml:space="preserve"> /  </w:t>
            </w:r>
            <w:r>
              <w:rPr>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10</w:t>
            </w:r>
          </w:p>
        </w:tc>
        <w:tc>
          <w:tcPr>
            <w:tcW w:w="1114" w:type="dxa"/>
            <w:vAlign w:val="center"/>
          </w:tcPr>
          <w:p>
            <w:pPr>
              <w:snapToGrid w:val="0"/>
              <w:spacing w:line="400" w:lineRule="atLeast"/>
              <w:ind w:firstLine="0" w:firstLineChars="0"/>
              <w:jc w:val="center"/>
              <w:rPr>
                <w:sz w:val="24"/>
              </w:rPr>
            </w:pPr>
            <w:r>
              <w:rPr>
                <w:sz w:val="24"/>
              </w:rPr>
              <w:t>11.5</w:t>
            </w:r>
            <w:r>
              <w:rPr>
                <w:rFonts w:hint="eastAsia"/>
                <w:sz w:val="24"/>
              </w:rPr>
              <w:t>（3）</w:t>
            </w:r>
          </w:p>
        </w:tc>
        <w:tc>
          <w:tcPr>
            <w:tcW w:w="7327" w:type="dxa"/>
            <w:vAlign w:val="center"/>
          </w:tcPr>
          <w:p>
            <w:pPr>
              <w:snapToGrid w:val="0"/>
              <w:spacing w:line="400" w:lineRule="atLeast"/>
              <w:ind w:firstLine="0" w:firstLineChars="0"/>
              <w:rPr>
                <w:sz w:val="24"/>
              </w:rPr>
            </w:pPr>
            <w:r>
              <w:rPr>
                <w:sz w:val="24"/>
              </w:rPr>
              <w:t>逾期交工违约金限额：</w:t>
            </w:r>
            <w:r>
              <w:rPr>
                <w:rFonts w:hint="eastAsia"/>
                <w:sz w:val="24"/>
                <w:u w:val="single"/>
              </w:rPr>
              <w:t>/</w:t>
            </w:r>
            <w:r>
              <w:rPr>
                <w:sz w:val="24"/>
              </w:rPr>
              <w:t xml:space="preserve"> %签约合同价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11</w:t>
            </w:r>
          </w:p>
        </w:tc>
        <w:tc>
          <w:tcPr>
            <w:tcW w:w="1114" w:type="dxa"/>
            <w:vAlign w:val="center"/>
          </w:tcPr>
          <w:p>
            <w:pPr>
              <w:snapToGrid w:val="0"/>
              <w:spacing w:line="400" w:lineRule="atLeast"/>
              <w:ind w:firstLine="0" w:firstLineChars="0"/>
              <w:jc w:val="center"/>
              <w:rPr>
                <w:sz w:val="24"/>
              </w:rPr>
            </w:pPr>
            <w:r>
              <w:rPr>
                <w:sz w:val="24"/>
              </w:rPr>
              <w:t>11.6</w:t>
            </w:r>
          </w:p>
        </w:tc>
        <w:tc>
          <w:tcPr>
            <w:tcW w:w="7327" w:type="dxa"/>
            <w:vAlign w:val="center"/>
          </w:tcPr>
          <w:p>
            <w:pPr>
              <w:snapToGrid w:val="0"/>
              <w:spacing w:line="400" w:lineRule="atLeast"/>
              <w:ind w:firstLine="0" w:firstLineChars="0"/>
              <w:rPr>
                <w:sz w:val="24"/>
              </w:rPr>
            </w:pPr>
            <w:r>
              <w:rPr>
                <w:sz w:val="24"/>
              </w:rPr>
              <w:t>提前交工的奖金：</w:t>
            </w:r>
            <w:r>
              <w:rPr>
                <w:sz w:val="24"/>
                <w:u w:val="single"/>
              </w:rPr>
              <w:t xml:space="preserve">  </w:t>
            </w:r>
            <w:r>
              <w:rPr>
                <w:rFonts w:hint="eastAsia"/>
                <w:sz w:val="24"/>
                <w:u w:val="single"/>
              </w:rPr>
              <w:t>/</w:t>
            </w:r>
            <w:r>
              <w:rPr>
                <w:sz w:val="24"/>
                <w:u w:val="single"/>
              </w:rPr>
              <w:t xml:space="preserve">  </w:t>
            </w:r>
            <w:r>
              <w:rPr>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12</w:t>
            </w:r>
          </w:p>
        </w:tc>
        <w:tc>
          <w:tcPr>
            <w:tcW w:w="1114" w:type="dxa"/>
            <w:vAlign w:val="center"/>
          </w:tcPr>
          <w:p>
            <w:pPr>
              <w:snapToGrid w:val="0"/>
              <w:spacing w:line="400" w:lineRule="atLeast"/>
              <w:ind w:firstLine="0" w:firstLineChars="0"/>
              <w:jc w:val="center"/>
              <w:rPr>
                <w:sz w:val="24"/>
              </w:rPr>
            </w:pPr>
            <w:r>
              <w:rPr>
                <w:sz w:val="24"/>
              </w:rPr>
              <w:t>11.6</w:t>
            </w:r>
          </w:p>
        </w:tc>
        <w:tc>
          <w:tcPr>
            <w:tcW w:w="7327" w:type="dxa"/>
            <w:vAlign w:val="center"/>
          </w:tcPr>
          <w:p>
            <w:pPr>
              <w:snapToGrid w:val="0"/>
              <w:spacing w:line="400" w:lineRule="atLeast"/>
              <w:ind w:firstLine="0" w:firstLineChars="0"/>
              <w:rPr>
                <w:sz w:val="24"/>
              </w:rPr>
            </w:pPr>
            <w:r>
              <w:rPr>
                <w:sz w:val="24"/>
              </w:rPr>
              <w:t>提前交工的奖金限额：</w:t>
            </w:r>
            <w:r>
              <w:rPr>
                <w:sz w:val="24"/>
                <w:u w:val="single"/>
              </w:rPr>
              <w:t xml:space="preserve">  </w:t>
            </w:r>
            <w:r>
              <w:rPr>
                <w:rFonts w:hint="eastAsia"/>
                <w:sz w:val="24"/>
                <w:u w:val="single"/>
              </w:rPr>
              <w:t>/</w:t>
            </w:r>
            <w:r>
              <w:rPr>
                <w:sz w:val="24"/>
                <w:u w:val="single"/>
              </w:rPr>
              <w:t xml:space="preserve">  </w:t>
            </w:r>
            <w:r>
              <w:rPr>
                <w:sz w:val="24"/>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13</w:t>
            </w:r>
          </w:p>
        </w:tc>
        <w:tc>
          <w:tcPr>
            <w:tcW w:w="1114" w:type="dxa"/>
            <w:vAlign w:val="center"/>
          </w:tcPr>
          <w:p>
            <w:pPr>
              <w:snapToGrid w:val="0"/>
              <w:spacing w:line="400" w:lineRule="atLeast"/>
              <w:ind w:firstLine="0" w:firstLineChars="0"/>
              <w:jc w:val="center"/>
              <w:rPr>
                <w:sz w:val="24"/>
              </w:rPr>
            </w:pPr>
            <w:r>
              <w:rPr>
                <w:sz w:val="24"/>
              </w:rPr>
              <w:t>15.5.2</w:t>
            </w:r>
          </w:p>
        </w:tc>
        <w:tc>
          <w:tcPr>
            <w:tcW w:w="7327" w:type="dxa"/>
            <w:vAlign w:val="center"/>
          </w:tcPr>
          <w:p>
            <w:pPr>
              <w:snapToGrid w:val="0"/>
              <w:spacing w:line="400" w:lineRule="atLeast"/>
              <w:ind w:firstLine="0" w:firstLineChars="0"/>
              <w:rPr>
                <w:sz w:val="24"/>
              </w:rPr>
            </w:pPr>
            <w:r>
              <w:rPr>
                <w:sz w:val="24"/>
              </w:rPr>
              <w:t>承包人提出的合理化建议降低了合同价格或者提高了工程经济效益的，发包人按所节约成本的</w:t>
            </w:r>
            <w:r>
              <w:rPr>
                <w:sz w:val="24"/>
                <w:u w:val="single"/>
              </w:rPr>
              <w:t xml:space="preserve">  </w:t>
            </w:r>
            <w:r>
              <w:rPr>
                <w:rFonts w:hint="eastAsia"/>
                <w:sz w:val="24"/>
                <w:u w:val="single"/>
              </w:rPr>
              <w:t>/</w:t>
            </w:r>
            <w:r>
              <w:rPr>
                <w:sz w:val="24"/>
                <w:u w:val="single"/>
              </w:rPr>
              <w:t xml:space="preserve">  </w:t>
            </w:r>
            <w:r>
              <w:rPr>
                <w:sz w:val="24"/>
              </w:rPr>
              <w:t>%或增加收益的</w:t>
            </w:r>
            <w:r>
              <w:rPr>
                <w:sz w:val="24"/>
                <w:u w:val="single"/>
              </w:rPr>
              <w:t xml:space="preserve">  </w:t>
            </w:r>
            <w:r>
              <w:rPr>
                <w:rFonts w:hint="eastAsia"/>
                <w:sz w:val="24"/>
                <w:u w:val="single"/>
              </w:rPr>
              <w:t>/</w:t>
            </w:r>
            <w:r>
              <w:rPr>
                <w:sz w:val="24"/>
                <w:u w:val="single"/>
              </w:rPr>
              <w:t xml:space="preserve">  </w:t>
            </w:r>
            <w:r>
              <w:rPr>
                <w:sz w:val="24"/>
              </w:rPr>
              <w:t>%给予奖励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14</w:t>
            </w:r>
          </w:p>
        </w:tc>
        <w:tc>
          <w:tcPr>
            <w:tcW w:w="1114" w:type="dxa"/>
            <w:vAlign w:val="center"/>
          </w:tcPr>
          <w:p>
            <w:pPr>
              <w:snapToGrid w:val="0"/>
              <w:spacing w:line="400" w:lineRule="atLeast"/>
              <w:ind w:firstLine="0" w:firstLineChars="0"/>
              <w:jc w:val="center"/>
              <w:rPr>
                <w:sz w:val="24"/>
              </w:rPr>
            </w:pPr>
            <w:r>
              <w:rPr>
                <w:sz w:val="24"/>
              </w:rPr>
              <w:t>16.1</w:t>
            </w:r>
          </w:p>
        </w:tc>
        <w:tc>
          <w:tcPr>
            <w:tcW w:w="7327" w:type="dxa"/>
            <w:vAlign w:val="center"/>
          </w:tcPr>
          <w:p>
            <w:pPr>
              <w:spacing w:line="400" w:lineRule="atLeast"/>
              <w:ind w:firstLine="0" w:firstLineChars="0"/>
              <w:rPr>
                <w:sz w:val="24"/>
              </w:rPr>
            </w:pPr>
            <w:r>
              <w:rPr>
                <w:rFonts w:hint="eastAsia" w:ascii="MS Mincho" w:hAnsi="MS Mincho" w:eastAsia="MS Mincho" w:cs="MS Mincho"/>
              </w:rPr>
              <w:t>☑</w:t>
            </w:r>
            <w:r>
              <w:rPr>
                <w:sz w:val="24"/>
              </w:rPr>
              <w:t>因物价波动引起的价格调整按照</w:t>
            </w:r>
            <w:r>
              <w:rPr>
                <w:sz w:val="24"/>
                <w:u w:val="single"/>
              </w:rPr>
              <w:t xml:space="preserve"> 第16.1项 </w:t>
            </w:r>
            <w:r>
              <w:rPr>
                <w:sz w:val="24"/>
              </w:rPr>
              <w:t>约定的原则处理</w:t>
            </w:r>
          </w:p>
          <w:p>
            <w:pPr>
              <w:spacing w:line="400" w:lineRule="atLeast"/>
              <w:ind w:firstLine="0" w:firstLineChars="0"/>
              <w:rPr>
                <w:sz w:val="24"/>
              </w:rPr>
            </w:pPr>
            <w:r>
              <w:rPr>
                <w:sz w:val="24"/>
              </w:rPr>
              <w:t>若按第16.1项的约定采用价格调整公式进行调价，</w:t>
            </w:r>
            <w:r>
              <w:rPr>
                <w:rFonts w:hint="eastAsia"/>
                <w:sz w:val="24"/>
                <w:u w:val="single"/>
              </w:rPr>
              <w:t>每半年或一年</w:t>
            </w:r>
            <w:r>
              <w:rPr>
                <w:sz w:val="24"/>
              </w:rPr>
              <w:t>按价格调整公式进行一次调整</w:t>
            </w:r>
          </w:p>
          <w:p>
            <w:pPr>
              <w:snapToGrid w:val="0"/>
              <w:spacing w:line="400" w:lineRule="atLeast"/>
              <w:ind w:firstLine="0" w:firstLineChars="0"/>
              <w:jc w:val="left"/>
              <w:rPr>
                <w:sz w:val="24"/>
              </w:rPr>
            </w:pPr>
            <w:r>
              <w:rPr>
                <w:rFonts w:hint="eastAsia"/>
                <w:sz w:val="24"/>
              </w:rPr>
              <w:t>□</w:t>
            </w:r>
            <w:r>
              <w:rPr>
                <w:sz w:val="24"/>
              </w:rPr>
              <w:t>合同期内不调价</w:t>
            </w:r>
            <w:r>
              <w:rPr>
                <w:sz w:val="24"/>
                <w:szCs w:val="18"/>
                <w:vertAlign w:val="superscrip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rFonts w:hint="eastAsia"/>
                <w:sz w:val="24"/>
              </w:rPr>
              <w:t>15</w:t>
            </w:r>
          </w:p>
        </w:tc>
        <w:tc>
          <w:tcPr>
            <w:tcW w:w="1114" w:type="dxa"/>
            <w:vAlign w:val="center"/>
          </w:tcPr>
          <w:p>
            <w:pPr>
              <w:snapToGrid w:val="0"/>
              <w:spacing w:line="400" w:lineRule="atLeast"/>
              <w:ind w:firstLine="0" w:firstLineChars="0"/>
              <w:jc w:val="center"/>
              <w:rPr>
                <w:sz w:val="24"/>
              </w:rPr>
            </w:pPr>
            <w:r>
              <w:rPr>
                <w:sz w:val="24"/>
              </w:rPr>
              <w:t>17.2.1</w:t>
            </w:r>
          </w:p>
        </w:tc>
        <w:tc>
          <w:tcPr>
            <w:tcW w:w="7327" w:type="dxa"/>
            <w:vAlign w:val="center"/>
          </w:tcPr>
          <w:p>
            <w:pPr>
              <w:snapToGrid w:val="0"/>
              <w:spacing w:line="400" w:lineRule="atLeast"/>
              <w:ind w:firstLine="0" w:firstLineChars="0"/>
              <w:rPr>
                <w:sz w:val="24"/>
              </w:rPr>
            </w:pPr>
            <w:r>
              <w:rPr>
                <w:sz w:val="24"/>
              </w:rPr>
              <w:t>开工预付款金额：</w:t>
            </w:r>
            <w:r>
              <w:rPr>
                <w:rFonts w:hint="eastAsia" w:ascii="宋体" w:hAnsi="宋体"/>
                <w:sz w:val="24"/>
                <w:u w:val="single"/>
              </w:rPr>
              <w:t>合同签订金额（扣除暂列金）的10%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16</w:t>
            </w:r>
          </w:p>
        </w:tc>
        <w:tc>
          <w:tcPr>
            <w:tcW w:w="1114" w:type="dxa"/>
            <w:vAlign w:val="center"/>
          </w:tcPr>
          <w:p>
            <w:pPr>
              <w:snapToGrid w:val="0"/>
              <w:spacing w:line="400" w:lineRule="atLeast"/>
              <w:ind w:firstLine="0" w:firstLineChars="0"/>
              <w:jc w:val="center"/>
              <w:rPr>
                <w:sz w:val="24"/>
              </w:rPr>
            </w:pPr>
            <w:r>
              <w:rPr>
                <w:sz w:val="24"/>
              </w:rPr>
              <w:t>17.2.1</w:t>
            </w:r>
          </w:p>
        </w:tc>
        <w:tc>
          <w:tcPr>
            <w:tcW w:w="7327" w:type="dxa"/>
            <w:vAlign w:val="center"/>
          </w:tcPr>
          <w:p>
            <w:pPr>
              <w:snapToGrid w:val="0"/>
              <w:spacing w:line="400" w:lineRule="atLeast"/>
              <w:ind w:firstLine="0" w:firstLineChars="0"/>
              <w:rPr>
                <w:sz w:val="24"/>
              </w:rPr>
            </w:pPr>
            <w:r>
              <w:rPr>
                <w:sz w:val="24"/>
              </w:rPr>
              <w:t>材料、设备预付款比例：</w:t>
            </w:r>
            <w:r>
              <w:rPr>
                <w:sz w:val="24"/>
                <w:u w:val="single"/>
              </w:rPr>
              <w:t xml:space="preserve"> </w:t>
            </w:r>
            <w:r>
              <w:rPr>
                <w:rFonts w:hint="eastAsia"/>
                <w:sz w:val="24"/>
                <w:u w:val="single"/>
              </w:rPr>
              <w:t>/</w:t>
            </w:r>
            <w:r>
              <w:rPr>
                <w:sz w:val="24"/>
                <w:u w:val="single"/>
              </w:rPr>
              <w:t xml:space="preserve"> </w:t>
            </w:r>
            <w:r>
              <w:rPr>
                <w:sz w:val="24"/>
              </w:rPr>
              <w:t>%</w:t>
            </w:r>
            <w:r>
              <w:rPr>
                <w:sz w:val="24"/>
                <w:vertAlign w:val="superscrip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17</w:t>
            </w:r>
          </w:p>
        </w:tc>
        <w:tc>
          <w:tcPr>
            <w:tcW w:w="1114" w:type="dxa"/>
            <w:vAlign w:val="center"/>
          </w:tcPr>
          <w:p>
            <w:pPr>
              <w:snapToGrid w:val="0"/>
              <w:spacing w:line="400" w:lineRule="atLeast"/>
              <w:ind w:firstLine="0" w:firstLineChars="0"/>
              <w:jc w:val="center"/>
              <w:rPr>
                <w:sz w:val="24"/>
              </w:rPr>
            </w:pPr>
            <w:r>
              <w:rPr>
                <w:sz w:val="24"/>
              </w:rPr>
              <w:t>17.3.2</w:t>
            </w:r>
          </w:p>
        </w:tc>
        <w:tc>
          <w:tcPr>
            <w:tcW w:w="7327" w:type="dxa"/>
            <w:vAlign w:val="center"/>
          </w:tcPr>
          <w:p>
            <w:pPr>
              <w:snapToGrid w:val="0"/>
              <w:spacing w:line="400" w:lineRule="atLeast"/>
              <w:ind w:firstLine="0" w:firstLineChars="0"/>
              <w:rPr>
                <w:spacing w:val="-2"/>
                <w:sz w:val="24"/>
              </w:rPr>
            </w:pPr>
            <w:r>
              <w:rPr>
                <w:spacing w:val="-2"/>
                <w:sz w:val="24"/>
              </w:rPr>
              <w:t>承包人在每个付款周期末向监理人提交进度付款申请单的份数：</w:t>
            </w:r>
            <w:r>
              <w:rPr>
                <w:rFonts w:hint="eastAsia"/>
                <w:spacing w:val="-2"/>
                <w:sz w:val="24"/>
                <w:u w:val="single"/>
              </w:rPr>
              <w:t>4</w:t>
            </w:r>
            <w:r>
              <w:rPr>
                <w:spacing w:val="-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18</w:t>
            </w:r>
          </w:p>
        </w:tc>
        <w:tc>
          <w:tcPr>
            <w:tcW w:w="1114" w:type="dxa"/>
            <w:vAlign w:val="center"/>
          </w:tcPr>
          <w:p>
            <w:pPr>
              <w:snapToGrid w:val="0"/>
              <w:spacing w:line="400" w:lineRule="atLeast"/>
              <w:ind w:firstLine="0" w:firstLineChars="0"/>
              <w:jc w:val="center"/>
              <w:rPr>
                <w:sz w:val="24"/>
              </w:rPr>
            </w:pPr>
            <w:r>
              <w:rPr>
                <w:sz w:val="24"/>
              </w:rPr>
              <w:t>17.3.3（1）</w:t>
            </w:r>
          </w:p>
        </w:tc>
        <w:tc>
          <w:tcPr>
            <w:tcW w:w="7327" w:type="dxa"/>
            <w:vAlign w:val="center"/>
          </w:tcPr>
          <w:p>
            <w:pPr>
              <w:snapToGrid w:val="0"/>
              <w:spacing w:line="400" w:lineRule="atLeast"/>
              <w:ind w:firstLine="0" w:firstLineChars="0"/>
              <w:rPr>
                <w:sz w:val="24"/>
              </w:rPr>
            </w:pPr>
            <w:r>
              <w:rPr>
                <w:sz w:val="24"/>
              </w:rPr>
              <w:t>进度付款证书最低限额：</w:t>
            </w:r>
            <w:r>
              <w:rPr>
                <w:sz w:val="24"/>
                <w:u w:val="single"/>
              </w:rPr>
              <w:t xml:space="preserve">  </w:t>
            </w:r>
            <w:r>
              <w:rPr>
                <w:rFonts w:hint="eastAsia"/>
                <w:sz w:val="24"/>
                <w:u w:val="single"/>
              </w:rPr>
              <w:t xml:space="preserve"> </w:t>
            </w:r>
            <w:r>
              <w:rPr>
                <w:sz w:val="24"/>
                <w:u w:val="single"/>
              </w:rPr>
              <w:t xml:space="preserve"> </w:t>
            </w:r>
            <w:r>
              <w:rPr>
                <w:sz w:val="24"/>
              </w:rPr>
              <w:t>%签约合同价或</w:t>
            </w:r>
            <w:r>
              <w:rPr>
                <w:sz w:val="24"/>
                <w:u w:val="single"/>
              </w:rPr>
              <w:t xml:space="preserve"> </w:t>
            </w:r>
            <w:r>
              <w:rPr>
                <w:rFonts w:hint="eastAsia"/>
                <w:sz w:val="24"/>
                <w:u w:val="single"/>
              </w:rPr>
              <w:t xml:space="preserve"> </w:t>
            </w:r>
            <w:r>
              <w:rPr>
                <w:sz w:val="24"/>
                <w:u w:val="single"/>
              </w:rPr>
              <w:t xml:space="preserve"> </w:t>
            </w:r>
            <w:r>
              <w:rPr>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19</w:t>
            </w:r>
          </w:p>
        </w:tc>
        <w:tc>
          <w:tcPr>
            <w:tcW w:w="1114" w:type="dxa"/>
            <w:vAlign w:val="center"/>
          </w:tcPr>
          <w:p>
            <w:pPr>
              <w:snapToGrid w:val="0"/>
              <w:spacing w:line="400" w:lineRule="atLeast"/>
              <w:ind w:firstLine="0" w:firstLineChars="0"/>
              <w:jc w:val="center"/>
              <w:rPr>
                <w:sz w:val="24"/>
              </w:rPr>
            </w:pPr>
            <w:r>
              <w:rPr>
                <w:sz w:val="24"/>
              </w:rPr>
              <w:t>17.3.3（2）</w:t>
            </w:r>
          </w:p>
        </w:tc>
        <w:tc>
          <w:tcPr>
            <w:tcW w:w="7327" w:type="dxa"/>
            <w:vAlign w:val="center"/>
          </w:tcPr>
          <w:p>
            <w:pPr>
              <w:snapToGrid w:val="0"/>
              <w:spacing w:line="400" w:lineRule="atLeast"/>
              <w:ind w:firstLine="0" w:firstLineChars="0"/>
              <w:rPr>
                <w:sz w:val="24"/>
                <w:u w:val="single"/>
              </w:rPr>
            </w:pPr>
            <w:r>
              <w:rPr>
                <w:sz w:val="24"/>
              </w:rPr>
              <w:t>逾期付款违约金的利率：</w:t>
            </w:r>
            <w:r>
              <w:rPr>
                <w:sz w:val="24"/>
                <w:u w:val="single"/>
              </w:rPr>
              <w:t xml:space="preserve"> </w:t>
            </w:r>
            <w:r>
              <w:rPr>
                <w:rFonts w:hint="eastAsia"/>
                <w:sz w:val="24"/>
                <w:u w:val="single"/>
              </w:rPr>
              <w:t xml:space="preserve"> </w:t>
            </w:r>
            <w:r>
              <w:rPr>
                <w:sz w:val="24"/>
                <w:u w:val="single"/>
              </w:rPr>
              <w:t xml:space="preserve">   </w:t>
            </w:r>
            <w:r>
              <w:rPr>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20</w:t>
            </w:r>
          </w:p>
        </w:tc>
        <w:tc>
          <w:tcPr>
            <w:tcW w:w="1114" w:type="dxa"/>
            <w:vAlign w:val="center"/>
          </w:tcPr>
          <w:p>
            <w:pPr>
              <w:snapToGrid w:val="0"/>
              <w:spacing w:line="400" w:lineRule="atLeast"/>
              <w:ind w:firstLine="0" w:firstLineChars="0"/>
              <w:jc w:val="center"/>
              <w:rPr>
                <w:sz w:val="24"/>
              </w:rPr>
            </w:pPr>
            <w:r>
              <w:rPr>
                <w:sz w:val="24"/>
              </w:rPr>
              <w:t>17.4.1</w:t>
            </w:r>
          </w:p>
        </w:tc>
        <w:tc>
          <w:tcPr>
            <w:tcW w:w="7327" w:type="dxa"/>
            <w:vAlign w:val="center"/>
          </w:tcPr>
          <w:p>
            <w:pPr>
              <w:snapToGrid w:val="0"/>
              <w:spacing w:line="400" w:lineRule="atLeast"/>
              <w:ind w:firstLine="0" w:firstLineChars="0"/>
              <w:rPr>
                <w:sz w:val="24"/>
              </w:rPr>
            </w:pPr>
            <w:r>
              <w:rPr>
                <w:sz w:val="24"/>
              </w:rPr>
              <w:t>质量保证金限额：</w:t>
            </w:r>
            <w:r>
              <w:rPr>
                <w:rFonts w:hint="eastAsia"/>
                <w:sz w:val="24"/>
                <w:u w:val="single"/>
              </w:rPr>
              <w:t>3</w:t>
            </w:r>
            <w:r>
              <w:rPr>
                <w:sz w:val="24"/>
              </w:rPr>
              <w:t>%合同价格，</w:t>
            </w:r>
            <w:r>
              <w:rPr>
                <w:rFonts w:hint="eastAsia"/>
                <w:sz w:val="24"/>
              </w:rPr>
              <w:t>若</w:t>
            </w:r>
            <w:r>
              <w:rPr>
                <w:sz w:val="24"/>
              </w:rPr>
              <w:t>交工验收时</w:t>
            </w:r>
            <w:r>
              <w:rPr>
                <w:rFonts w:hint="eastAsia"/>
                <w:sz w:val="24"/>
              </w:rPr>
              <w:t>承包人具备</w:t>
            </w:r>
            <w:r>
              <w:rPr>
                <w:sz w:val="24"/>
              </w:rPr>
              <w:t>被招标项目所在地省级交通主管部门评</w:t>
            </w:r>
            <w:r>
              <w:rPr>
                <w:rFonts w:hint="eastAsia"/>
                <w:sz w:val="24"/>
              </w:rPr>
              <w:t>定的</w:t>
            </w:r>
            <w:r>
              <w:rPr>
                <w:sz w:val="24"/>
              </w:rPr>
              <w:t>最高信用等级，发包人给予</w:t>
            </w:r>
            <w:r>
              <w:rPr>
                <w:rFonts w:hint="eastAsia"/>
                <w:sz w:val="24"/>
                <w:u w:val="single"/>
              </w:rPr>
              <w:t>/</w:t>
            </w:r>
            <w:r>
              <w:rPr>
                <w:sz w:val="24"/>
              </w:rPr>
              <w:t>%合同价格质量保证金的优惠，并在交工验收时向承包人返还质量保证金优惠的金额。</w:t>
            </w:r>
          </w:p>
          <w:p>
            <w:pPr>
              <w:snapToGrid w:val="0"/>
              <w:spacing w:line="400" w:lineRule="atLeast"/>
              <w:ind w:firstLine="0" w:firstLineChars="0"/>
            </w:pPr>
            <w:r>
              <w:rPr>
                <w:sz w:val="24"/>
              </w:rPr>
              <w:t>注：采用电子保函的，请登录全国公共资源交易平台（安徽省•合肥市）（安徽合肥公共资源交易中心网站）“电子保函”栏目查看《合肥市（信易贷）电子保函平台工程质量保函操作手册》并按照操作手册规定内容办理。</w:t>
            </w:r>
          </w:p>
          <w:p>
            <w:pPr>
              <w:snapToGrid w:val="0"/>
              <w:spacing w:line="360" w:lineRule="atLeast"/>
              <w:ind w:firstLine="0" w:firstLineChars="0"/>
              <w:rPr>
                <w:rFonts w:cs="宋体"/>
                <w:kern w:val="0"/>
                <w:sz w:val="24"/>
              </w:rPr>
            </w:pPr>
            <w:r>
              <w:rPr>
                <w:rFonts w:hint="eastAsia"/>
                <w:sz w:val="24"/>
              </w:rPr>
              <w:t>质量保证金是否</w:t>
            </w:r>
            <w:r>
              <w:rPr>
                <w:rFonts w:hint="eastAsia" w:cs="宋体"/>
                <w:kern w:val="0"/>
                <w:sz w:val="24"/>
              </w:rPr>
              <w:t>计付利息：</w:t>
            </w:r>
            <w:r>
              <w:rPr>
                <w:rFonts w:cs="宋体"/>
                <w:kern w:val="0"/>
                <w:sz w:val="24"/>
              </w:rPr>
              <w:t xml:space="preserve">   </w:t>
            </w:r>
          </w:p>
          <w:p>
            <w:pPr>
              <w:adjustRightInd w:val="0"/>
              <w:spacing w:line="360" w:lineRule="auto"/>
              <w:ind w:firstLine="0" w:firstLineChars="0"/>
              <w:rPr>
                <w:kern w:val="0"/>
                <w:sz w:val="24"/>
                <w:szCs w:val="20"/>
                <w:u w:val="single"/>
              </w:rPr>
            </w:pPr>
            <w:r>
              <w:rPr>
                <w:rFonts w:hint="eastAsia" w:ascii="MS Mincho" w:hAnsi="MS Mincho" w:eastAsia="MS Mincho" w:cs="MS Mincho"/>
              </w:rPr>
              <w:t>☑</w:t>
            </w:r>
            <w:r>
              <w:rPr>
                <w:rFonts w:hint="eastAsia"/>
                <w:sz w:val="24"/>
              </w:rPr>
              <w:t>是，</w:t>
            </w:r>
            <w:r>
              <w:rPr>
                <w:rFonts w:hint="eastAsia" w:cs="宋体"/>
                <w:kern w:val="0"/>
                <w:sz w:val="24"/>
              </w:rPr>
              <w:t>利息的计算方式：</w:t>
            </w:r>
            <w:r>
              <w:rPr>
                <w:rFonts w:hint="eastAsia" w:cs="宋体"/>
                <w:kern w:val="0"/>
                <w:sz w:val="24"/>
                <w:u w:val="single"/>
              </w:rPr>
              <w:t>如以</w:t>
            </w:r>
            <w:r>
              <w:rPr>
                <w:rFonts w:hint="eastAsia"/>
                <w:kern w:val="0"/>
                <w:sz w:val="24"/>
                <w:szCs w:val="20"/>
                <w:u w:val="single"/>
              </w:rPr>
              <w:t>现金缴纳（含工程款扣留的），同时退还保证金本金和银行同期存款利息。</w:t>
            </w:r>
          </w:p>
          <w:p>
            <w:pPr>
              <w:snapToGrid w:val="0"/>
              <w:spacing w:line="360" w:lineRule="atLeast"/>
              <w:ind w:firstLine="0" w:firstLineChars="0"/>
              <w:rPr>
                <w:rFonts w:eastAsia="宋体 ，Arial" w:cs="宋体"/>
                <w:kern w:val="0"/>
                <w:sz w:val="24"/>
                <w:u w:val="single"/>
              </w:rPr>
            </w:pP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21</w:t>
            </w:r>
          </w:p>
        </w:tc>
        <w:tc>
          <w:tcPr>
            <w:tcW w:w="1114" w:type="dxa"/>
            <w:vAlign w:val="center"/>
          </w:tcPr>
          <w:p>
            <w:pPr>
              <w:snapToGrid w:val="0"/>
              <w:spacing w:line="400" w:lineRule="atLeast"/>
              <w:ind w:firstLine="0" w:firstLineChars="0"/>
              <w:jc w:val="center"/>
              <w:rPr>
                <w:sz w:val="24"/>
              </w:rPr>
            </w:pPr>
            <w:r>
              <w:rPr>
                <w:sz w:val="24"/>
              </w:rPr>
              <w:t>17.5.1</w:t>
            </w:r>
          </w:p>
        </w:tc>
        <w:tc>
          <w:tcPr>
            <w:tcW w:w="7327" w:type="dxa"/>
            <w:vAlign w:val="center"/>
          </w:tcPr>
          <w:p>
            <w:pPr>
              <w:snapToGrid w:val="0"/>
              <w:spacing w:line="400" w:lineRule="atLeast"/>
              <w:ind w:firstLine="0" w:firstLineChars="0"/>
              <w:rPr>
                <w:sz w:val="24"/>
              </w:rPr>
            </w:pPr>
            <w:r>
              <w:rPr>
                <w:sz w:val="24"/>
              </w:rPr>
              <w:t>承包人向监理人提交交工付款申请单（包括相关证明材料）的份数：</w:t>
            </w:r>
            <w:r>
              <w:rPr>
                <w:sz w:val="24"/>
                <w:u w:val="single"/>
              </w:rPr>
              <w:t xml:space="preserve">  </w:t>
            </w:r>
            <w:r>
              <w:rPr>
                <w:rFonts w:hint="eastAsia"/>
                <w:sz w:val="24"/>
                <w:u w:val="single"/>
              </w:rPr>
              <w:t>6</w:t>
            </w:r>
            <w:r>
              <w:rPr>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bottom w:val="single" w:color="auto" w:sz="4" w:space="0"/>
            </w:tcBorders>
            <w:vAlign w:val="center"/>
          </w:tcPr>
          <w:p>
            <w:pPr>
              <w:snapToGrid w:val="0"/>
              <w:spacing w:line="400" w:lineRule="atLeast"/>
              <w:ind w:firstLine="0" w:firstLineChars="0"/>
              <w:jc w:val="center"/>
              <w:rPr>
                <w:sz w:val="24"/>
              </w:rPr>
            </w:pPr>
            <w:r>
              <w:rPr>
                <w:sz w:val="24"/>
              </w:rPr>
              <w:t>22</w:t>
            </w:r>
          </w:p>
        </w:tc>
        <w:tc>
          <w:tcPr>
            <w:tcW w:w="1114" w:type="dxa"/>
            <w:tcBorders>
              <w:bottom w:val="single" w:color="auto" w:sz="4" w:space="0"/>
            </w:tcBorders>
            <w:vAlign w:val="center"/>
          </w:tcPr>
          <w:p>
            <w:pPr>
              <w:snapToGrid w:val="0"/>
              <w:spacing w:line="400" w:lineRule="atLeast"/>
              <w:ind w:firstLine="0" w:firstLineChars="0"/>
              <w:jc w:val="center"/>
              <w:rPr>
                <w:sz w:val="24"/>
              </w:rPr>
            </w:pPr>
            <w:r>
              <w:rPr>
                <w:sz w:val="24"/>
              </w:rPr>
              <w:t>17.6.1</w:t>
            </w:r>
          </w:p>
        </w:tc>
        <w:tc>
          <w:tcPr>
            <w:tcW w:w="7327" w:type="dxa"/>
            <w:tcBorders>
              <w:bottom w:val="single" w:color="auto" w:sz="4" w:space="0"/>
            </w:tcBorders>
            <w:vAlign w:val="center"/>
          </w:tcPr>
          <w:p>
            <w:pPr>
              <w:snapToGrid w:val="0"/>
              <w:spacing w:line="400" w:lineRule="atLeast"/>
              <w:ind w:firstLine="0" w:firstLineChars="0"/>
              <w:rPr>
                <w:sz w:val="24"/>
              </w:rPr>
            </w:pPr>
            <w:r>
              <w:rPr>
                <w:sz w:val="24"/>
              </w:rPr>
              <w:t>承包人向监理人提交最终结清申请单（包括相关证明材料）的份数：</w:t>
            </w:r>
            <w:r>
              <w:rPr>
                <w:sz w:val="24"/>
                <w:u w:val="single"/>
              </w:rPr>
              <w:t xml:space="preserve">      </w:t>
            </w:r>
            <w:r>
              <w:rPr>
                <w:rFonts w:hint="eastAsia"/>
                <w:sz w:val="24"/>
                <w:u w:val="single"/>
              </w:rPr>
              <w:t>6</w:t>
            </w:r>
            <w:r>
              <w:rPr>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0" w:firstLineChars="0"/>
              <w:jc w:val="center"/>
              <w:rPr>
                <w:sz w:val="24"/>
              </w:rPr>
            </w:pPr>
            <w:r>
              <w:rPr>
                <w:sz w:val="24"/>
              </w:rPr>
              <w:t>23</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0" w:firstLineChars="0"/>
              <w:jc w:val="center"/>
            </w:pPr>
            <w:r>
              <w:rPr>
                <w:sz w:val="24"/>
              </w:rPr>
              <w:t>18.2</w:t>
            </w:r>
          </w:p>
        </w:tc>
        <w:tc>
          <w:tcPr>
            <w:tcW w:w="7327"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0" w:firstLineChars="0"/>
              <w:rPr>
                <w:sz w:val="24"/>
              </w:rPr>
            </w:pPr>
            <w:r>
              <w:rPr>
                <w:rFonts w:hint="eastAsia"/>
                <w:sz w:val="24"/>
              </w:rPr>
              <w:t>竣工资料原件2套，电子版1套，竣工图5套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0" w:firstLineChars="0"/>
              <w:jc w:val="center"/>
              <w:rPr>
                <w:sz w:val="24"/>
              </w:rPr>
            </w:pPr>
            <w:r>
              <w:rPr>
                <w:rFonts w:hint="eastAsia"/>
                <w:sz w:val="24"/>
              </w:rPr>
              <w:t>24</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0" w:firstLineChars="0"/>
              <w:jc w:val="center"/>
              <w:rPr>
                <w:sz w:val="24"/>
              </w:rPr>
            </w:pPr>
            <w:r>
              <w:rPr>
                <w:sz w:val="24"/>
              </w:rPr>
              <w:t>18.5.1</w:t>
            </w:r>
          </w:p>
        </w:tc>
        <w:tc>
          <w:tcPr>
            <w:tcW w:w="7327" w:type="dxa"/>
            <w:tcBorders>
              <w:top w:val="single" w:color="auto" w:sz="4" w:space="0"/>
              <w:left w:val="single" w:color="auto" w:sz="4" w:space="0"/>
              <w:bottom w:val="single" w:color="auto" w:sz="4" w:space="0"/>
              <w:right w:val="single" w:color="auto" w:sz="4" w:space="0"/>
            </w:tcBorders>
            <w:vAlign w:val="center"/>
          </w:tcPr>
          <w:p>
            <w:pPr>
              <w:spacing w:line="380" w:lineRule="atLeast"/>
              <w:ind w:firstLine="0" w:firstLineChars="0"/>
              <w:rPr>
                <w:sz w:val="24"/>
                <w:u w:val="single"/>
              </w:rPr>
            </w:pPr>
            <w:r>
              <w:rPr>
                <w:sz w:val="24"/>
              </w:rPr>
              <w:t>单位工程或工程设备是否需投入施工期运行：</w:t>
            </w:r>
            <w:r>
              <w:rPr>
                <w:sz w:val="24"/>
                <w:u w:val="single"/>
              </w:rPr>
              <w:t>是</w:t>
            </w:r>
          </w:p>
          <w:p>
            <w:pPr>
              <w:spacing w:line="380" w:lineRule="atLeast"/>
              <w:ind w:firstLine="0" w:firstLineChars="0"/>
              <w:rPr>
                <w:sz w:val="24"/>
              </w:rPr>
            </w:pPr>
            <w:r>
              <w:rPr>
                <w:sz w:val="24"/>
              </w:rPr>
              <w:t>如单位工程或工程设备需要进行施工期运行，需要施工期运行的单位工程或工程设备规定如下：</w:t>
            </w:r>
            <w:r>
              <w:rPr>
                <w:sz w:val="24"/>
                <w:u w:val="single"/>
              </w:rPr>
              <w:t xml:space="preserve">            </w:t>
            </w:r>
            <w:r>
              <w:rPr>
                <w:rFonts w:hint="eastAsia"/>
                <w:sz w:val="24"/>
                <w:u w:val="single"/>
              </w:rPr>
              <w:t>/</w:t>
            </w:r>
            <w:r>
              <w:rPr>
                <w:sz w:val="24"/>
                <w:u w:val="single"/>
              </w:rPr>
              <w:t xml:space="preserve">           </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0" w:firstLineChars="0"/>
              <w:jc w:val="center"/>
              <w:rPr>
                <w:sz w:val="24"/>
              </w:rPr>
            </w:pPr>
            <w:r>
              <w:rPr>
                <w:sz w:val="24"/>
              </w:rPr>
              <w:t>25</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0" w:firstLineChars="0"/>
              <w:jc w:val="center"/>
              <w:rPr>
                <w:sz w:val="24"/>
              </w:rPr>
            </w:pPr>
            <w:r>
              <w:rPr>
                <w:sz w:val="24"/>
              </w:rPr>
              <w:t>18.6.1</w:t>
            </w:r>
          </w:p>
        </w:tc>
        <w:tc>
          <w:tcPr>
            <w:tcW w:w="7327" w:type="dxa"/>
            <w:tcBorders>
              <w:top w:val="single" w:color="auto" w:sz="4" w:space="0"/>
              <w:left w:val="single" w:color="auto" w:sz="4" w:space="0"/>
              <w:bottom w:val="single" w:color="auto" w:sz="4" w:space="0"/>
              <w:right w:val="single" w:color="auto" w:sz="4" w:space="0"/>
            </w:tcBorders>
            <w:vAlign w:val="center"/>
          </w:tcPr>
          <w:p>
            <w:pPr>
              <w:spacing w:line="380" w:lineRule="atLeast"/>
              <w:ind w:firstLine="0" w:firstLineChars="0"/>
              <w:rPr>
                <w:sz w:val="24"/>
                <w:u w:val="single"/>
              </w:rPr>
            </w:pPr>
            <w:r>
              <w:rPr>
                <w:sz w:val="24"/>
              </w:rPr>
              <w:t>本工程及工程设备是否进行试运行：</w:t>
            </w:r>
            <w:r>
              <w:rPr>
                <w:sz w:val="24"/>
                <w:u w:val="single"/>
              </w:rPr>
              <w:t xml:space="preserve">否 </w:t>
            </w:r>
          </w:p>
          <w:p>
            <w:pPr>
              <w:spacing w:line="400" w:lineRule="atLeast"/>
              <w:ind w:firstLine="0" w:firstLineChars="0"/>
              <w:rPr>
                <w:sz w:val="24"/>
              </w:rPr>
            </w:pPr>
            <w:r>
              <w:rPr>
                <w:sz w:val="24"/>
              </w:rPr>
              <w:t>如本工程及工程设备需要进行试运行，试运行的具体规定如下：</w:t>
            </w:r>
            <w:r>
              <w:rPr>
                <w:sz w:val="24"/>
                <w:u w:val="single"/>
              </w:rPr>
              <w:t xml:space="preserve">  </w:t>
            </w:r>
            <w:r>
              <w:rPr>
                <w:rFonts w:hint="eastAsia"/>
                <w:sz w:val="24"/>
                <w:u w:val="single"/>
              </w:rPr>
              <w:t>/</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26</w:t>
            </w:r>
          </w:p>
        </w:tc>
        <w:tc>
          <w:tcPr>
            <w:tcW w:w="1114" w:type="dxa"/>
            <w:vAlign w:val="center"/>
          </w:tcPr>
          <w:p>
            <w:pPr>
              <w:snapToGrid w:val="0"/>
              <w:spacing w:line="400" w:lineRule="atLeast"/>
              <w:ind w:firstLine="0" w:firstLineChars="0"/>
              <w:jc w:val="center"/>
              <w:rPr>
                <w:sz w:val="24"/>
              </w:rPr>
            </w:pPr>
            <w:r>
              <w:rPr>
                <w:sz w:val="24"/>
              </w:rPr>
              <w:t>19.7</w:t>
            </w:r>
          </w:p>
        </w:tc>
        <w:tc>
          <w:tcPr>
            <w:tcW w:w="7327" w:type="dxa"/>
            <w:vAlign w:val="center"/>
          </w:tcPr>
          <w:p>
            <w:pPr>
              <w:snapToGrid w:val="0"/>
              <w:spacing w:line="400" w:lineRule="atLeast"/>
              <w:ind w:firstLine="0" w:firstLineChars="0"/>
              <w:rPr>
                <w:sz w:val="24"/>
              </w:rPr>
            </w:pPr>
            <w:r>
              <w:rPr>
                <w:sz w:val="24"/>
              </w:rPr>
              <w:t>保修期：自实际交工日期起计算</w:t>
            </w:r>
            <w:r>
              <w:rPr>
                <w:sz w:val="24"/>
                <w:u w:val="single"/>
              </w:rPr>
              <w:t xml:space="preserve">  </w:t>
            </w:r>
            <w:r>
              <w:rPr>
                <w:rFonts w:hint="eastAsia"/>
                <w:sz w:val="24"/>
                <w:u w:val="single"/>
              </w:rPr>
              <w:t>2</w:t>
            </w:r>
            <w:r>
              <w:rPr>
                <w:sz w:val="24"/>
                <w:u w:val="single"/>
              </w:rPr>
              <w:t xml:space="preserve">  </w:t>
            </w:r>
            <w:r>
              <w:rPr>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27</w:t>
            </w:r>
          </w:p>
        </w:tc>
        <w:tc>
          <w:tcPr>
            <w:tcW w:w="1114" w:type="dxa"/>
            <w:vAlign w:val="center"/>
          </w:tcPr>
          <w:p>
            <w:pPr>
              <w:snapToGrid w:val="0"/>
              <w:spacing w:line="400" w:lineRule="atLeast"/>
              <w:ind w:firstLine="0" w:firstLineChars="0"/>
              <w:jc w:val="center"/>
              <w:rPr>
                <w:sz w:val="24"/>
              </w:rPr>
            </w:pPr>
            <w:r>
              <w:rPr>
                <w:sz w:val="24"/>
              </w:rPr>
              <w:t>20.1</w:t>
            </w:r>
          </w:p>
        </w:tc>
        <w:tc>
          <w:tcPr>
            <w:tcW w:w="7327" w:type="dxa"/>
            <w:vAlign w:val="center"/>
          </w:tcPr>
          <w:p>
            <w:pPr>
              <w:snapToGrid w:val="0"/>
              <w:spacing w:line="400" w:lineRule="atLeast"/>
              <w:ind w:firstLine="0" w:firstLineChars="0"/>
              <w:rPr>
                <w:sz w:val="24"/>
              </w:rPr>
            </w:pPr>
            <w:r>
              <w:rPr>
                <w:sz w:val="24"/>
              </w:rPr>
              <w:t>建筑工程一切险的保险费率：</w:t>
            </w:r>
            <w:r>
              <w:rPr>
                <w:rFonts w:hint="eastAsia"/>
                <w:sz w:val="24"/>
                <w:u w:val="single"/>
              </w:rPr>
              <w:t>见本项目</w:t>
            </w:r>
            <w:r>
              <w:rPr>
                <w:rFonts w:hint="eastAsia"/>
                <w:sz w:val="24"/>
                <w:u w:val="single"/>
                <w:lang w:val="en-US" w:eastAsia="zh-CN"/>
              </w:rPr>
              <w:t>工程量</w:t>
            </w:r>
            <w:r>
              <w:rPr>
                <w:rFonts w:hint="eastAsia"/>
                <w:sz w:val="24"/>
                <w:u w:val="single"/>
              </w:rPr>
              <w:t>清单</w:t>
            </w:r>
            <w:r>
              <w:rPr>
                <w:rFonts w:hint="eastAsia"/>
                <w:sz w:val="24"/>
                <w:u w:val="single"/>
                <w:lang w:val="en-US" w:eastAsia="zh-CN"/>
              </w:rPr>
              <w:t>及最高投标限价</w:t>
            </w:r>
            <w:r>
              <w:rPr>
                <w:rFonts w:hint="eastAsia"/>
                <w:sz w:val="24"/>
                <w:u w:val="single"/>
              </w:rPr>
              <w:t>及补疑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28</w:t>
            </w:r>
          </w:p>
        </w:tc>
        <w:tc>
          <w:tcPr>
            <w:tcW w:w="1114" w:type="dxa"/>
            <w:vAlign w:val="center"/>
          </w:tcPr>
          <w:p>
            <w:pPr>
              <w:snapToGrid w:val="0"/>
              <w:spacing w:line="400" w:lineRule="atLeast"/>
              <w:ind w:firstLine="0" w:firstLineChars="0"/>
              <w:jc w:val="center"/>
              <w:rPr>
                <w:sz w:val="24"/>
              </w:rPr>
            </w:pPr>
            <w:r>
              <w:rPr>
                <w:sz w:val="24"/>
              </w:rPr>
              <w:t>20.4.2</w:t>
            </w:r>
          </w:p>
        </w:tc>
        <w:tc>
          <w:tcPr>
            <w:tcW w:w="7327" w:type="dxa"/>
            <w:vAlign w:val="center"/>
          </w:tcPr>
          <w:p>
            <w:pPr>
              <w:snapToGrid w:val="0"/>
              <w:spacing w:line="400" w:lineRule="atLeast"/>
              <w:ind w:firstLine="0" w:firstLineChars="0"/>
              <w:rPr>
                <w:sz w:val="24"/>
                <w:u w:val="single"/>
              </w:rPr>
            </w:pPr>
            <w:r>
              <w:rPr>
                <w:sz w:val="24"/>
              </w:rPr>
              <w:t>第三者责任险的最低投保金额：</w:t>
            </w:r>
            <w:r>
              <w:rPr>
                <w:rFonts w:hint="eastAsia"/>
                <w:sz w:val="24"/>
                <w:u w:val="single"/>
              </w:rPr>
              <w:t>见本项目</w:t>
            </w:r>
            <w:r>
              <w:rPr>
                <w:rFonts w:hint="eastAsia"/>
                <w:sz w:val="24"/>
                <w:u w:val="single"/>
                <w:lang w:val="en-US" w:eastAsia="zh-CN"/>
              </w:rPr>
              <w:t>工程量</w:t>
            </w:r>
            <w:r>
              <w:rPr>
                <w:rFonts w:hint="eastAsia"/>
                <w:sz w:val="24"/>
                <w:u w:val="single"/>
              </w:rPr>
              <w:t>清单</w:t>
            </w:r>
            <w:r>
              <w:rPr>
                <w:rFonts w:hint="eastAsia"/>
                <w:sz w:val="24"/>
                <w:u w:val="single"/>
                <w:lang w:val="en-US" w:eastAsia="zh-CN"/>
              </w:rPr>
              <w:t>及最高投标限价</w:t>
            </w:r>
            <w:r>
              <w:rPr>
                <w:rFonts w:hint="eastAsia"/>
                <w:sz w:val="24"/>
                <w:u w:val="single"/>
              </w:rPr>
              <w:t>及补疑</w:t>
            </w:r>
            <w:r>
              <w:rPr>
                <w:sz w:val="24"/>
              </w:rPr>
              <w:t>，事故次数不限（不计免赔额）</w:t>
            </w:r>
          </w:p>
          <w:p>
            <w:pPr>
              <w:snapToGrid w:val="0"/>
              <w:spacing w:line="400" w:lineRule="atLeast"/>
              <w:ind w:firstLine="0" w:firstLineChars="0"/>
              <w:rPr>
                <w:sz w:val="24"/>
              </w:rPr>
            </w:pPr>
            <w:r>
              <w:rPr>
                <w:sz w:val="24"/>
              </w:rPr>
              <w:t>保险费率：</w:t>
            </w:r>
            <w:r>
              <w:rPr>
                <w:rFonts w:hint="eastAsia"/>
                <w:sz w:val="24"/>
                <w:u w:val="single"/>
              </w:rPr>
              <w:t>见本项目</w:t>
            </w:r>
            <w:r>
              <w:rPr>
                <w:rFonts w:hint="eastAsia"/>
                <w:sz w:val="24"/>
                <w:u w:val="single"/>
                <w:lang w:val="en-US" w:eastAsia="zh-CN"/>
              </w:rPr>
              <w:t>工程量</w:t>
            </w:r>
            <w:r>
              <w:rPr>
                <w:rFonts w:hint="eastAsia"/>
                <w:sz w:val="24"/>
                <w:u w:val="single"/>
              </w:rPr>
              <w:t>清单</w:t>
            </w:r>
            <w:r>
              <w:rPr>
                <w:rFonts w:hint="eastAsia"/>
                <w:sz w:val="24"/>
                <w:u w:val="single"/>
                <w:lang w:val="en-US" w:eastAsia="zh-CN"/>
              </w:rPr>
              <w:t>及最高投标限价</w:t>
            </w:r>
            <w:r>
              <w:rPr>
                <w:rFonts w:hint="eastAsia"/>
                <w:sz w:val="24"/>
                <w:u w:val="single"/>
              </w:rPr>
              <w:t>及补疑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ind w:firstLine="0" w:firstLineChars="0"/>
              <w:jc w:val="center"/>
              <w:rPr>
                <w:sz w:val="24"/>
              </w:rPr>
            </w:pPr>
            <w:r>
              <w:rPr>
                <w:sz w:val="24"/>
              </w:rPr>
              <w:t>29</w:t>
            </w:r>
          </w:p>
        </w:tc>
        <w:tc>
          <w:tcPr>
            <w:tcW w:w="1114" w:type="dxa"/>
            <w:vAlign w:val="center"/>
          </w:tcPr>
          <w:p>
            <w:pPr>
              <w:snapToGrid w:val="0"/>
              <w:spacing w:line="400" w:lineRule="atLeast"/>
              <w:ind w:firstLine="0" w:firstLineChars="0"/>
              <w:jc w:val="center"/>
              <w:rPr>
                <w:sz w:val="24"/>
              </w:rPr>
            </w:pPr>
            <w:r>
              <w:rPr>
                <w:sz w:val="24"/>
              </w:rPr>
              <w:t>24.1</w:t>
            </w:r>
          </w:p>
        </w:tc>
        <w:tc>
          <w:tcPr>
            <w:tcW w:w="7327" w:type="dxa"/>
            <w:vAlign w:val="center"/>
          </w:tcPr>
          <w:p>
            <w:pPr>
              <w:spacing w:line="400" w:lineRule="atLeast"/>
              <w:ind w:left="4" w:leftChars="-8" w:hanging="21" w:hangingChars="9"/>
              <w:rPr>
                <w:sz w:val="24"/>
              </w:rPr>
            </w:pPr>
            <w:r>
              <w:rPr>
                <w:sz w:val="24"/>
              </w:rPr>
              <w:t>争议的最终解决方式：</w:t>
            </w:r>
            <w:r>
              <w:rPr>
                <w:sz w:val="24"/>
                <w:u w:val="single"/>
              </w:rPr>
              <w:t xml:space="preserve">  </w:t>
            </w:r>
            <w:r>
              <w:rPr>
                <w:rFonts w:ascii="宋体" w:hAnsi="宋体"/>
                <w:sz w:val="24"/>
                <w:u w:val="single"/>
              </w:rPr>
              <w:t>肥东县人民法院诉讼</w:t>
            </w:r>
            <w:r>
              <w:rPr>
                <w:sz w:val="24"/>
                <w:u w:val="single"/>
              </w:rPr>
              <w:t xml:space="preserve">  </w:t>
            </w:r>
          </w:p>
          <w:p>
            <w:pPr>
              <w:snapToGrid w:val="0"/>
              <w:spacing w:line="400" w:lineRule="atLeast"/>
              <w:ind w:firstLine="0" w:firstLineChars="0"/>
              <w:jc w:val="left"/>
              <w:rPr>
                <w:sz w:val="24"/>
              </w:rPr>
            </w:pPr>
            <w:r>
              <w:rPr>
                <w:sz w:val="24"/>
              </w:rPr>
              <w:t>如采用仲裁，仲裁委员会名称：</w:t>
            </w:r>
            <w:r>
              <w:rPr>
                <w:sz w:val="24"/>
                <w:u w:val="single"/>
              </w:rPr>
              <w:t xml:space="preserve">  </w:t>
            </w:r>
            <w:r>
              <w:rPr>
                <w:rFonts w:hint="eastAsia"/>
                <w:sz w:val="24"/>
                <w:u w:val="single"/>
              </w:rPr>
              <w:t xml:space="preserve"> / </w:t>
            </w:r>
            <w:r>
              <w:rPr>
                <w:sz w:val="24"/>
                <w:u w:val="single"/>
              </w:rPr>
              <w:t xml:space="preserve">  </w:t>
            </w:r>
          </w:p>
        </w:tc>
      </w:tr>
    </w:tbl>
    <w:p>
      <w:pPr>
        <w:spacing w:line="380" w:lineRule="atLeast"/>
        <w:ind w:firstLine="0" w:firstLineChars="0"/>
        <w:jc w:val="center"/>
      </w:pPr>
      <w:r>
        <w:rPr>
          <w:rFonts w:eastAsia="黑体"/>
          <w:sz w:val="20"/>
          <w:szCs w:val="20"/>
        </w:rPr>
        <w:br w:type="page"/>
      </w:r>
      <w:r>
        <w:rPr>
          <w:rFonts w:eastAsia="黑体"/>
          <w:sz w:val="28"/>
        </w:rPr>
        <w:t>项目专用合同条款</w:t>
      </w:r>
    </w:p>
    <w:p>
      <w:pPr>
        <w:ind w:firstLine="0" w:firstLineChars="0"/>
      </w:pP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hint="eastAsia" w:eastAsia="黑体"/>
          <w:kern w:val="0"/>
          <w:sz w:val="24"/>
          <w:szCs w:val="20"/>
        </w:rPr>
        <w:t>1.6 图纸和承包人文件</w:t>
      </w:r>
    </w:p>
    <w:p>
      <w:pPr>
        <w:spacing w:line="400" w:lineRule="atLeast"/>
        <w:ind w:firstLine="470" w:firstLineChars="196"/>
        <w:rPr>
          <w:rFonts w:eastAsia="黑体"/>
          <w:sz w:val="24"/>
        </w:rPr>
      </w:pPr>
      <w:r>
        <w:rPr>
          <w:rFonts w:hint="eastAsia" w:eastAsia="黑体"/>
          <w:sz w:val="24"/>
        </w:rPr>
        <w:t>1.6.4 图纸的错误</w:t>
      </w:r>
    </w:p>
    <w:p>
      <w:pPr>
        <w:spacing w:line="400" w:lineRule="atLeast"/>
        <w:ind w:firstLine="480"/>
        <w:rPr>
          <w:sz w:val="24"/>
        </w:rPr>
      </w:pPr>
      <w:r>
        <w:rPr>
          <w:rFonts w:hint="eastAsia"/>
          <w:sz w:val="24"/>
        </w:rPr>
        <w:t>本项补充：</w:t>
      </w:r>
    </w:p>
    <w:p>
      <w:pPr>
        <w:spacing w:line="400" w:lineRule="atLeast"/>
        <w:ind w:firstLine="480"/>
        <w:rPr>
          <w:sz w:val="24"/>
        </w:rPr>
      </w:pPr>
      <w:r>
        <w:rPr>
          <w:rFonts w:hint="eastAsia"/>
          <w:sz w:val="24"/>
        </w:rPr>
        <w:t>承包人在施工过程中发现图纸有明显错误或与现场情况出入较大时应立即通知监理人，没有发包人或发包人委托的监理人的指令，承包人不能进行任何工程变更，否则造成工程质量事故或发包人经济损失，承包人应就此承担一切责任和经济损失。</w:t>
      </w:r>
    </w:p>
    <w:p>
      <w:pPr>
        <w:spacing w:line="400" w:lineRule="atLeast"/>
        <w:ind w:firstLine="470" w:firstLineChars="196"/>
        <w:rPr>
          <w:rFonts w:eastAsia="黑体"/>
          <w:sz w:val="24"/>
        </w:rPr>
      </w:pPr>
      <w:r>
        <w:rPr>
          <w:rFonts w:hint="eastAsia" w:eastAsia="黑体"/>
          <w:sz w:val="24"/>
        </w:rPr>
        <w:t>1.11</w:t>
      </w:r>
      <w:r>
        <w:rPr>
          <w:rFonts w:eastAsia="黑体"/>
          <w:sz w:val="24"/>
        </w:rPr>
        <w:t>专利技术</w:t>
      </w:r>
    </w:p>
    <w:p>
      <w:pPr>
        <w:spacing w:line="400" w:lineRule="atLeast"/>
        <w:ind w:firstLine="480"/>
        <w:rPr>
          <w:sz w:val="24"/>
        </w:rPr>
      </w:pPr>
      <w:r>
        <w:rPr>
          <w:rFonts w:hint="eastAsia"/>
          <w:sz w:val="24"/>
        </w:rPr>
        <w:t>1.11.1原文细化为：</w:t>
      </w:r>
    </w:p>
    <w:p>
      <w:pPr>
        <w:spacing w:line="400" w:lineRule="atLeast"/>
        <w:ind w:firstLine="480"/>
        <w:rPr>
          <w:sz w:val="24"/>
        </w:rPr>
      </w:pPr>
      <w:r>
        <w:rPr>
          <w:rFonts w:hint="eastAsia"/>
          <w:sz w:val="24"/>
        </w:rPr>
        <w:t>承包人在实施本合同工程和其缺陷修复过程中所采用的施工工艺、进场的装备和材料、设备等，如果使用专利权人的专利商标、图案、施工工艺、材料、设备和其他知识产权的，应取得专利权人的许可，并在投标报价中充分考虑专利使用费等成本因素。如果因其商标、图案、施工工艺、新材料的使用等发生侵犯专利权的行为，并引起索赔或诉讼，则一切与此有关的损害、赔偿、诉讼费用和其他开支，均由承包人负责。</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4.1 承包人的一般义务</w:t>
      </w:r>
    </w:p>
    <w:p>
      <w:pPr>
        <w:spacing w:line="400" w:lineRule="atLeast"/>
        <w:ind w:firstLine="470" w:firstLineChars="196"/>
        <w:rPr>
          <w:rFonts w:eastAsia="黑体"/>
          <w:sz w:val="24"/>
        </w:rPr>
      </w:pPr>
      <w:r>
        <w:rPr>
          <w:rFonts w:hint="eastAsia" w:eastAsia="黑体"/>
          <w:sz w:val="24"/>
        </w:rPr>
        <w:t>4.1.4 对施工作业和施工方法的完备性负责</w:t>
      </w:r>
    </w:p>
    <w:p>
      <w:pPr>
        <w:spacing w:line="400" w:lineRule="atLeast"/>
        <w:ind w:firstLine="480"/>
        <w:rPr>
          <w:sz w:val="24"/>
        </w:rPr>
      </w:pPr>
      <w:r>
        <w:rPr>
          <w:rFonts w:hint="eastAsia"/>
          <w:sz w:val="24"/>
        </w:rPr>
        <w:t>本项补充4.1.4.1-4.1.4.6目：</w:t>
      </w:r>
    </w:p>
    <w:p>
      <w:pPr>
        <w:spacing w:line="400" w:lineRule="atLeast"/>
        <w:ind w:firstLine="480"/>
        <w:rPr>
          <w:sz w:val="24"/>
        </w:rPr>
      </w:pPr>
      <w:r>
        <w:rPr>
          <w:rFonts w:hint="eastAsia"/>
          <w:sz w:val="24"/>
        </w:rPr>
        <w:t>4.1.4.1 承包人应制定周密的安全、质量保证、信息管理措施及施工计划（包括人员、设备、材料、后勤保障、涉铁路、涉公路、涉河流等），并报监理人批准后严格执行，以保证本合同工程的顺利施工。</w:t>
      </w:r>
    </w:p>
    <w:p>
      <w:pPr>
        <w:spacing w:line="400" w:lineRule="atLeast"/>
        <w:ind w:firstLine="480"/>
        <w:rPr>
          <w:sz w:val="24"/>
        </w:rPr>
      </w:pPr>
      <w:r>
        <w:rPr>
          <w:rFonts w:hint="eastAsia"/>
          <w:sz w:val="24"/>
        </w:rPr>
        <w:t>4.1.4.2 承包人应对所有施工作业和施工方法、施工工艺和运输方案等的完备性和安全可靠性负责。发包人或监理人或评审专家的核备或评审通过，并不免除承包人因工艺缺陷等造成的相关责任。</w:t>
      </w:r>
    </w:p>
    <w:p>
      <w:pPr>
        <w:spacing w:line="400" w:lineRule="atLeast"/>
        <w:ind w:firstLine="480"/>
        <w:rPr>
          <w:sz w:val="24"/>
        </w:rPr>
      </w:pPr>
      <w:r>
        <w:rPr>
          <w:rFonts w:hint="eastAsia"/>
          <w:sz w:val="24"/>
        </w:rPr>
        <w:t>4.1.4.3 承包人应合理组织施工生产，使标段内各项目进度均衡发展，并满足发包人和监理人根据总工期下达的阶段性工作目标要求。</w:t>
      </w:r>
    </w:p>
    <w:p>
      <w:pPr>
        <w:spacing w:line="400" w:lineRule="atLeast"/>
        <w:ind w:firstLine="480"/>
        <w:rPr>
          <w:sz w:val="24"/>
        </w:rPr>
      </w:pPr>
      <w:r>
        <w:rPr>
          <w:rFonts w:hint="eastAsia"/>
          <w:sz w:val="24"/>
        </w:rPr>
        <w:t>4.1.4.4 承包人应严格按图纸、规范和工艺操作程序施工，加强质量自检和安全管理。在施工过程中，如发现承包人违反施工工艺操作程序，或违反质量、安全管理的有关规定（包含本项目建设管理办法质量、安全管理的系列规定），或出现质量问题、造成质量隐患及发生安全事故，发包人有权按照第22条相关规定对其进行违约处理。同时不免除承包人自费整改的责任以及其他应负的责任。</w:t>
      </w:r>
    </w:p>
    <w:p>
      <w:pPr>
        <w:spacing w:line="400" w:lineRule="atLeast"/>
        <w:ind w:firstLine="480"/>
        <w:rPr>
          <w:sz w:val="24"/>
        </w:rPr>
      </w:pPr>
      <w:r>
        <w:rPr>
          <w:rFonts w:hint="eastAsia"/>
          <w:sz w:val="24"/>
        </w:rPr>
        <w:t>4.1.4.5 加强施工现场和临建设施的标准化管理，执行交通运输部公路局《公路工程施工标准化指南系列》、交通运输部工程质量监督局《公路水运工程施工安全标准化指南》、《安徽省公路水运重点工程项目安全生产管理指南》、《安徽省公路水运重点工程项目质量管理指南》及本项目标准化管理办法（临建、质量、安全等）有关规定（若有冲突，按标准较高的执行）。</w:t>
      </w:r>
    </w:p>
    <w:p>
      <w:pPr>
        <w:spacing w:line="400" w:lineRule="atLeast"/>
        <w:ind w:firstLine="480"/>
        <w:rPr>
          <w:sz w:val="24"/>
        </w:rPr>
      </w:pPr>
      <w:r>
        <w:rPr>
          <w:rFonts w:hint="eastAsia"/>
          <w:sz w:val="24"/>
        </w:rPr>
        <w:t>4.1.4.6 涉铁承包人与发包人委托的铁路主管部门签订上跨（下穿）铁路施工合同。上跨（下穿）铁路施工工程合同的规模由发包人与相关铁路主管部门另行商定，承包人应该接受该商定结果。该上跨（下穿）铁路工程的质量、进度、安全、计量支付等接受由发包人委托的铁路主管部门管理。</w:t>
      </w:r>
    </w:p>
    <w:p>
      <w:pPr>
        <w:spacing w:line="400" w:lineRule="atLeast"/>
        <w:ind w:firstLine="470" w:firstLineChars="196"/>
        <w:rPr>
          <w:rFonts w:eastAsia="黑体"/>
          <w:sz w:val="24"/>
        </w:rPr>
      </w:pPr>
      <w:r>
        <w:rPr>
          <w:rFonts w:hint="eastAsia" w:eastAsia="黑体"/>
          <w:sz w:val="24"/>
        </w:rPr>
        <w:t>4.1.5 保证工程施工和人员的安全</w:t>
      </w:r>
    </w:p>
    <w:p>
      <w:pPr>
        <w:spacing w:line="400" w:lineRule="atLeast"/>
        <w:ind w:firstLine="480"/>
        <w:rPr>
          <w:sz w:val="24"/>
        </w:rPr>
      </w:pPr>
      <w:r>
        <w:rPr>
          <w:rFonts w:hint="eastAsia"/>
          <w:sz w:val="24"/>
        </w:rPr>
        <w:t>本项补充：</w:t>
      </w:r>
    </w:p>
    <w:p>
      <w:pPr>
        <w:spacing w:line="400" w:lineRule="atLeast"/>
        <w:ind w:firstLine="480"/>
        <w:rPr>
          <w:sz w:val="24"/>
        </w:rPr>
      </w:pPr>
      <w:r>
        <w:rPr>
          <w:rFonts w:hint="eastAsia"/>
          <w:sz w:val="24"/>
        </w:rPr>
        <w:t>承包人应严格遵守公路、铁路、航道、海事、河道、水务、石油管道等有关部门的规定，切实执行保证铁路、船舶航行安全的各项安全防护措施，并保证施工安全。</w:t>
      </w:r>
    </w:p>
    <w:p>
      <w:pPr>
        <w:spacing w:line="400" w:lineRule="atLeast"/>
        <w:ind w:firstLine="480"/>
        <w:rPr>
          <w:sz w:val="24"/>
        </w:rPr>
      </w:pPr>
      <w:r>
        <w:rPr>
          <w:rFonts w:hint="eastAsia"/>
          <w:sz w:val="24"/>
        </w:rPr>
        <w:t>本项补充4.1.5.1-4.1.5.3目：</w:t>
      </w:r>
    </w:p>
    <w:p>
      <w:pPr>
        <w:spacing w:line="400" w:lineRule="atLeast"/>
        <w:ind w:firstLine="480"/>
        <w:rPr>
          <w:sz w:val="24"/>
        </w:rPr>
      </w:pPr>
      <w:r>
        <w:rPr>
          <w:rFonts w:hint="eastAsia"/>
          <w:sz w:val="24"/>
        </w:rPr>
        <w:t>4.1.5.1 在收到开工令之后的7天以内应制定一份详细的安全管理计划报监理人审查，并根据监理人的指示进行修改，施工期间承包人也应根据监理人的指示修改安全管理计划。</w:t>
      </w:r>
    </w:p>
    <w:p>
      <w:pPr>
        <w:spacing w:line="400" w:lineRule="atLeast"/>
        <w:ind w:firstLine="480"/>
        <w:rPr>
          <w:sz w:val="24"/>
        </w:rPr>
      </w:pPr>
      <w:r>
        <w:rPr>
          <w:rFonts w:hint="eastAsia"/>
          <w:sz w:val="24"/>
        </w:rPr>
        <w:t>4.1.5.2 承包人应注意尽量减少各种车辆之间与施工现场的干扰。当工程施工可能会对道路交通产生干扰时，承包人应设置必要的路障、警告信号等。</w:t>
      </w:r>
    </w:p>
    <w:p>
      <w:pPr>
        <w:spacing w:line="400" w:lineRule="atLeast"/>
        <w:ind w:firstLine="480"/>
        <w:rPr>
          <w:sz w:val="24"/>
        </w:rPr>
      </w:pPr>
      <w:r>
        <w:rPr>
          <w:rFonts w:hint="eastAsia"/>
          <w:sz w:val="24"/>
        </w:rPr>
        <w:t>4.1.5.3 承包人应充分考虑到各施工场地位置所有的设备、临时建筑等防火安全，配备足够的防火设备，对于火灾高发场地，应由专人负责防火巡查，杜绝火灾隐患。</w:t>
      </w:r>
    </w:p>
    <w:p>
      <w:pPr>
        <w:spacing w:line="400" w:lineRule="atLeast"/>
        <w:ind w:firstLine="470" w:firstLineChars="196"/>
        <w:rPr>
          <w:rFonts w:eastAsia="黑体"/>
          <w:sz w:val="24"/>
        </w:rPr>
      </w:pPr>
      <w:r>
        <w:rPr>
          <w:rFonts w:hint="eastAsia" w:eastAsia="黑体"/>
          <w:sz w:val="24"/>
        </w:rPr>
        <w:t>4.1.6 负责施工场地及其周边环境与生态的保护工作</w:t>
      </w:r>
    </w:p>
    <w:p>
      <w:pPr>
        <w:spacing w:line="400" w:lineRule="atLeast"/>
        <w:ind w:firstLine="480"/>
        <w:rPr>
          <w:sz w:val="24"/>
        </w:rPr>
      </w:pPr>
      <w:r>
        <w:rPr>
          <w:rFonts w:hint="eastAsia"/>
          <w:sz w:val="24"/>
        </w:rPr>
        <w:t>补充：</w:t>
      </w:r>
    </w:p>
    <w:p>
      <w:pPr>
        <w:spacing w:line="400" w:lineRule="atLeast"/>
        <w:ind w:firstLine="480"/>
        <w:rPr>
          <w:sz w:val="24"/>
        </w:rPr>
      </w:pPr>
      <w:r>
        <w:rPr>
          <w:rFonts w:hint="eastAsia"/>
          <w:sz w:val="24"/>
        </w:rPr>
        <w:t>承包人在建设扬尘污染防治措施和费用管理上，必须严格执行合肥市交通运输局文件（合交建</w:t>
      </w:r>
      <w:r>
        <w:rPr>
          <w:sz w:val="24"/>
        </w:rPr>
        <w:t>[2014]21</w:t>
      </w:r>
      <w:r>
        <w:rPr>
          <w:rFonts w:hint="eastAsia"/>
          <w:sz w:val="24"/>
        </w:rPr>
        <w:t>号文、皖人社发</w:t>
      </w:r>
      <w:r>
        <w:rPr>
          <w:sz w:val="24"/>
        </w:rPr>
        <w:t>[2018]22</w:t>
      </w:r>
      <w:r>
        <w:rPr>
          <w:rFonts w:hint="eastAsia"/>
          <w:sz w:val="24"/>
        </w:rPr>
        <w:t>号文规定）。</w:t>
      </w:r>
    </w:p>
    <w:p>
      <w:pPr>
        <w:spacing w:line="400" w:lineRule="atLeast"/>
        <w:ind w:firstLine="470" w:firstLineChars="196"/>
        <w:rPr>
          <w:rFonts w:eastAsia="黑体"/>
          <w:sz w:val="24"/>
        </w:rPr>
      </w:pPr>
      <w:r>
        <w:rPr>
          <w:rFonts w:hint="eastAsia" w:eastAsia="黑体"/>
          <w:sz w:val="24"/>
        </w:rPr>
        <w:t>4.1.7 避免施工对公众与他人的利益造成损害</w:t>
      </w:r>
    </w:p>
    <w:p>
      <w:pPr>
        <w:spacing w:line="400" w:lineRule="atLeast"/>
        <w:ind w:firstLine="480"/>
        <w:rPr>
          <w:sz w:val="24"/>
        </w:rPr>
      </w:pPr>
      <w:r>
        <w:rPr>
          <w:rFonts w:hint="eastAsia"/>
          <w:sz w:val="24"/>
        </w:rPr>
        <w:t>本项补充4.1.7.1-4.1.7.</w:t>
      </w:r>
      <w:r>
        <w:rPr>
          <w:sz w:val="24"/>
        </w:rPr>
        <w:t>2</w:t>
      </w:r>
      <w:r>
        <w:rPr>
          <w:rFonts w:hint="eastAsia"/>
          <w:sz w:val="24"/>
        </w:rPr>
        <w:t>目：</w:t>
      </w:r>
    </w:p>
    <w:p>
      <w:pPr>
        <w:spacing w:line="400" w:lineRule="atLeast"/>
        <w:ind w:firstLine="480"/>
        <w:rPr>
          <w:sz w:val="24"/>
        </w:rPr>
      </w:pPr>
      <w:r>
        <w:rPr>
          <w:rFonts w:hint="eastAsia"/>
          <w:sz w:val="24"/>
        </w:rPr>
        <w:t>4.1.7.1 承包人各施工场地、运输航线等与已建铁路、公路、桥涵、市政道路、航运、通讯缆线、供电、供水、输油、输气管道、居民住宅区等有交叉、干扰的地段，承包人应在不干扰铁路、公路（市政道路）、航运正常运营以及注意保护地下管线、不干扰附近居民正常生活的前提下合理安排生产，并与上述交叉物所有者或管理者进行合理协调，办理相关手续。如承包人采取的措施不力，影响铁路、公路、航道（线）设施、通讯缆线、供电、供水、输油、输气管道等正常安全运营、居民的正常生活而给其他部门或个人造成一切损失，或由上述原因造成本合同工程工期的拖延或施工费用的增加，均由承包人自行承担，发包人不另行支付。如第三方就此对发包人提起任何索赔，由承包人负责处理并赔偿对发包人造成的一切损失。</w:t>
      </w:r>
    </w:p>
    <w:p>
      <w:pPr>
        <w:spacing w:line="400" w:lineRule="atLeast"/>
        <w:ind w:firstLine="480"/>
        <w:rPr>
          <w:sz w:val="24"/>
        </w:rPr>
      </w:pPr>
      <w:r>
        <w:rPr>
          <w:rFonts w:hint="eastAsia"/>
          <w:sz w:val="24"/>
        </w:rPr>
        <w:t>4.1.7.2 凡是本合同工程内与本项目其他工程存在共有工作面或互扰的场地，监理人有权协调工程的实施并对工程衔接提供指示，承包人应在监理人的统一协调下工作。承包人应对上述所有工作负责，发包人将根据承包人的要求给予适当协助。承包人采取上述措施而可能发生的费用凡不符合工程变更条件的视为已包含在合同价格中，发包人不另行支付。</w:t>
      </w:r>
    </w:p>
    <w:p>
      <w:pPr>
        <w:spacing w:line="400" w:lineRule="atLeast"/>
        <w:ind w:firstLine="470" w:firstLineChars="196"/>
        <w:rPr>
          <w:rFonts w:eastAsia="黑体"/>
          <w:sz w:val="24"/>
        </w:rPr>
      </w:pPr>
      <w:r>
        <w:rPr>
          <w:rFonts w:hint="eastAsia" w:eastAsia="黑体"/>
          <w:sz w:val="24"/>
        </w:rPr>
        <w:t>4.1.8 为他人提供方便</w:t>
      </w:r>
    </w:p>
    <w:p>
      <w:pPr>
        <w:spacing w:line="400" w:lineRule="atLeast"/>
        <w:ind w:firstLine="480"/>
        <w:rPr>
          <w:sz w:val="24"/>
        </w:rPr>
      </w:pPr>
      <w:r>
        <w:rPr>
          <w:rFonts w:hint="eastAsia"/>
          <w:sz w:val="24"/>
        </w:rPr>
        <w:t>本项补充4.1.8.1~4.1.8.4目：</w:t>
      </w:r>
    </w:p>
    <w:p>
      <w:pPr>
        <w:spacing w:line="400" w:lineRule="atLeast"/>
        <w:ind w:firstLine="480"/>
        <w:rPr>
          <w:sz w:val="24"/>
        </w:rPr>
      </w:pPr>
      <w:r>
        <w:rPr>
          <w:rFonts w:hint="eastAsia"/>
          <w:sz w:val="24"/>
        </w:rPr>
        <w:t>4.1.8.1 承包人应妥善处理好与其它工程承包人的关系，发生交叉施工时，应相互配合，友好协作，并无条件服从监理人、发包人统一协调。</w:t>
      </w:r>
    </w:p>
    <w:p>
      <w:pPr>
        <w:spacing w:line="400" w:lineRule="atLeast"/>
        <w:ind w:firstLine="480"/>
        <w:rPr>
          <w:sz w:val="24"/>
        </w:rPr>
      </w:pPr>
      <w:r>
        <w:rPr>
          <w:rFonts w:hint="eastAsia"/>
          <w:sz w:val="24"/>
        </w:rPr>
        <w:t>4.1.8.2 在本工程施工期间，发包人在必要时将可以调用本标段的部分机械设备用于其他标段的重点工序的突击作业或抢险，对此，承包人不得拒绝。本标段的承包人在使用发包人调用的其他标段的设备用于本标段的工程时，也应承担相应的费用和相应的责任。</w:t>
      </w:r>
    </w:p>
    <w:p>
      <w:pPr>
        <w:spacing w:line="400" w:lineRule="atLeast"/>
        <w:ind w:firstLine="480"/>
        <w:rPr>
          <w:sz w:val="24"/>
        </w:rPr>
      </w:pPr>
      <w:r>
        <w:rPr>
          <w:rFonts w:hint="eastAsia"/>
          <w:sz w:val="24"/>
        </w:rPr>
        <w:t>4.1.8.3 几个承包人在同一区域施工时，监理人有权协调工程的实施并对工程的衔接提出指示，承包人应在监理人的统一协调下工作。</w:t>
      </w:r>
    </w:p>
    <w:p>
      <w:pPr>
        <w:spacing w:line="400" w:lineRule="atLeast"/>
        <w:ind w:firstLine="480"/>
        <w:rPr>
          <w:sz w:val="24"/>
        </w:rPr>
      </w:pPr>
      <w:r>
        <w:rPr>
          <w:rFonts w:hint="eastAsia"/>
          <w:sz w:val="24"/>
        </w:rPr>
        <w:t>4.1.8.4场内临时纵向施工便道（桥）</w:t>
      </w:r>
    </w:p>
    <w:p>
      <w:pPr>
        <w:spacing w:line="400" w:lineRule="atLeast"/>
        <w:ind w:firstLine="480"/>
        <w:rPr>
          <w:sz w:val="24"/>
        </w:rPr>
      </w:pPr>
      <w:r>
        <w:rPr>
          <w:rFonts w:hint="eastAsia"/>
          <w:sz w:val="24"/>
        </w:rPr>
        <w:t xml:space="preserve">a.本项目场内临时纵向施工便道（桥）由承包人按规定标准在征地红线一侧沿路线纵向修建。该施工便道（桥）承担各施工标段自身车辆、发包人车辆、监理人车辆、本项目其它标段和相关协助单位车辆的通行任务。各承包人对本标段内施工便道（桥）负有养护、管理责任。各承包人必须保证本标施工便道（桥）晴雨正常通行，严禁社会车辆进入，引发交通事故及其它社会纠纷。场内临时纵向施工便道（桥）涉及两个及以上标段共用，损毁养护责任均由建设标段承担。  </w:t>
      </w:r>
    </w:p>
    <w:p>
      <w:pPr>
        <w:spacing w:line="400" w:lineRule="atLeast"/>
        <w:ind w:firstLine="480"/>
        <w:rPr>
          <w:sz w:val="24"/>
        </w:rPr>
      </w:pPr>
      <w:r>
        <w:rPr>
          <w:rFonts w:hint="eastAsia"/>
          <w:sz w:val="24"/>
        </w:rPr>
        <w:t>b.本项目土建工程全线完工后，除监理人或发包人另有批准外，承包人负责施工便道（桥）拆除、复垦，并恢复原有交通标志。</w:t>
      </w:r>
    </w:p>
    <w:p>
      <w:pPr>
        <w:spacing w:line="400" w:lineRule="atLeast"/>
        <w:ind w:firstLine="470" w:firstLineChars="196"/>
        <w:rPr>
          <w:rFonts w:eastAsia="黑体"/>
          <w:sz w:val="24"/>
        </w:rPr>
      </w:pPr>
      <w:r>
        <w:rPr>
          <w:rFonts w:hint="eastAsia" w:eastAsia="黑体"/>
          <w:sz w:val="24"/>
        </w:rPr>
        <w:t>4.1.9 工程的维护和照管</w:t>
      </w:r>
    </w:p>
    <w:p>
      <w:pPr>
        <w:spacing w:line="400" w:lineRule="atLeast"/>
        <w:ind w:firstLine="480"/>
        <w:rPr>
          <w:sz w:val="24"/>
        </w:rPr>
      </w:pPr>
      <w:r>
        <w:rPr>
          <w:rFonts w:hint="eastAsia"/>
          <w:sz w:val="24"/>
        </w:rPr>
        <w:t>本项补充第（3）目：</w:t>
      </w:r>
    </w:p>
    <w:p>
      <w:pPr>
        <w:spacing w:line="400" w:lineRule="atLeast"/>
        <w:ind w:firstLine="480"/>
        <w:rPr>
          <w:sz w:val="24"/>
        </w:rPr>
      </w:pPr>
      <w:r>
        <w:rPr>
          <w:rFonts w:hint="eastAsia"/>
          <w:sz w:val="24"/>
        </w:rPr>
        <w:t>（3）本项目营运试通车前，承包人负责工程维护管理，相关费用包含在承包人相关细目报价中，发包人不另行支付。</w:t>
      </w:r>
    </w:p>
    <w:p>
      <w:pPr>
        <w:spacing w:line="400" w:lineRule="atLeast"/>
        <w:ind w:firstLine="480"/>
        <w:rPr>
          <w:sz w:val="24"/>
        </w:rPr>
      </w:pPr>
      <w:r>
        <w:rPr>
          <w:rFonts w:hint="eastAsia"/>
          <w:sz w:val="24"/>
        </w:rPr>
        <w:t>本项补充第4.1.10（7）－4.1.10（1</w:t>
      </w:r>
      <w:r>
        <w:rPr>
          <w:sz w:val="24"/>
        </w:rPr>
        <w:t>4</w:t>
      </w:r>
      <w:r>
        <w:rPr>
          <w:rFonts w:hint="eastAsia"/>
          <w:sz w:val="24"/>
        </w:rPr>
        <w:t>）目：</w:t>
      </w:r>
    </w:p>
    <w:p>
      <w:pPr>
        <w:spacing w:line="400" w:lineRule="atLeast"/>
        <w:ind w:firstLine="480"/>
        <w:rPr>
          <w:sz w:val="24"/>
        </w:rPr>
      </w:pPr>
      <w:r>
        <w:rPr>
          <w:rFonts w:hint="eastAsia"/>
          <w:sz w:val="24"/>
        </w:rPr>
        <w:t>（7）承包人应安排协调能力强、具有一定处置权力的专职人员负责协调地方关系、处理地方矛盾。承包人在施工过程中，应积极争取当地政府及人民群众的支持，协调处理好与各方的关系。承包人不得擅自调整政府相关补偿标准，并做好群众解释工作，避免出现群体性事件。</w:t>
      </w:r>
    </w:p>
    <w:p>
      <w:pPr>
        <w:spacing w:line="400" w:lineRule="atLeast"/>
        <w:ind w:firstLine="480"/>
        <w:rPr>
          <w:sz w:val="24"/>
        </w:rPr>
      </w:pPr>
      <w:r>
        <w:rPr>
          <w:rFonts w:hint="eastAsia"/>
          <w:sz w:val="24"/>
        </w:rPr>
        <w:t>所有涉及与地方相关的问题，承包人自行协调解决，任何情况下不得作为工程索赔的理由。</w:t>
      </w:r>
    </w:p>
    <w:p>
      <w:pPr>
        <w:spacing w:line="400" w:lineRule="atLeast"/>
        <w:ind w:firstLine="480"/>
        <w:rPr>
          <w:sz w:val="24"/>
        </w:rPr>
      </w:pPr>
      <w:r>
        <w:rPr>
          <w:rFonts w:hint="eastAsia"/>
          <w:sz w:val="24"/>
        </w:rPr>
        <w:t>（8）承包人在施工过程中，应积极主动取得当地政府及人民群众的支持，协调好本合同段各方的关系，避免施工干扰，同时避免给其他承包人造成施工干扰。不可避免时，应主动采取一切措施征得被干扰方理解，如因施工干扰而引起阻工的，承包人不能解决的，监理人或发包人有权采取一切措施解决阻工问题，由此产生的费用由承包人承担。承包人不得因施工阻工要求延长工期及增加费用。</w:t>
      </w:r>
    </w:p>
    <w:p>
      <w:pPr>
        <w:spacing w:line="400" w:lineRule="atLeast"/>
        <w:ind w:firstLine="480"/>
        <w:rPr>
          <w:sz w:val="24"/>
        </w:rPr>
      </w:pPr>
      <w:r>
        <w:rPr>
          <w:rFonts w:hint="eastAsia"/>
          <w:sz w:val="24"/>
        </w:rPr>
        <w:t>（9）承包人除按合同规定承担本合同工程实施、完成及修复缺陷外，还应对施工有交叉、有衔接的其他相关施工项目做好配合，承包人应按发包人要求做好交验配合工作，若出现矛盾或纠纷，承包人应服从监理人或发包人安排，在监理人或发包人通知到但未参加交验的，视为认同监理人或发包人的交验结果，并承担由此引起的一切费用。承包人应充分考虑在施工过程中可采取的交通保障措施，交通安全保障及文明施工措施。</w:t>
      </w:r>
    </w:p>
    <w:p>
      <w:pPr>
        <w:spacing w:line="400" w:lineRule="atLeast"/>
        <w:ind w:firstLine="480"/>
        <w:rPr>
          <w:sz w:val="24"/>
        </w:rPr>
      </w:pPr>
      <w:r>
        <w:rPr>
          <w:rFonts w:hint="eastAsia"/>
          <w:sz w:val="24"/>
        </w:rPr>
        <w:t>（10）承包人在实施合同期间有义务配合完成发包人安排的科研课题的有关工作，配合相关检测单位、测量监控单位及咨询单位做好相关的工作。</w:t>
      </w:r>
    </w:p>
    <w:p>
      <w:pPr>
        <w:spacing w:line="400" w:lineRule="atLeast"/>
        <w:ind w:firstLine="480"/>
        <w:rPr>
          <w:sz w:val="24"/>
        </w:rPr>
      </w:pPr>
      <w:r>
        <w:rPr>
          <w:rFonts w:hint="eastAsia"/>
          <w:sz w:val="24"/>
        </w:rPr>
        <w:t>（11）在开工前，承包人应根据发包人提供的图纸及专用技术规范等技术资料，对投标阶段的施工组织设计进行优化、补充及细微偏差的修正，包括但不限于：施工方案与技术措施、施工场地安排及建设计划、工程进度计划、质量、安全、文明、环保、水保管理体系及保障措施、施工设备、人员和材料进场计划、事故应急预案等，并同时报发包人和监理人审核。承包人应对施工组织设计中的组织计划和生产流程的真实性、适用性、完备性全权负责，发包人和监理人的审批同意并不代表承包人的相关责任的免除。</w:t>
      </w:r>
    </w:p>
    <w:p>
      <w:pPr>
        <w:spacing w:line="400" w:lineRule="atLeast"/>
        <w:ind w:firstLine="480"/>
        <w:rPr>
          <w:sz w:val="24"/>
        </w:rPr>
      </w:pPr>
      <w:r>
        <w:rPr>
          <w:rFonts w:hint="eastAsia"/>
          <w:sz w:val="24"/>
        </w:rPr>
        <w:t>（12）承包人组织召开的各种施工组织设计、关键技术施工和安全专项施工方案评审会，或按照发包人的安排与其他标段的承包人轮流组织召开各种专题会议或评审会议并承担评审费等相关费用。</w:t>
      </w:r>
    </w:p>
    <w:p>
      <w:pPr>
        <w:spacing w:line="400" w:lineRule="atLeast"/>
        <w:ind w:firstLine="480"/>
        <w:rPr>
          <w:sz w:val="24"/>
        </w:rPr>
      </w:pPr>
      <w:r>
        <w:rPr>
          <w:rFonts w:hint="eastAsia"/>
          <w:sz w:val="24"/>
        </w:rPr>
        <w:t>（13）承包人未能履行本合同条款第4.1款中各项义务，造成发包人损失的，应赔偿发包人相应损失。</w:t>
      </w:r>
    </w:p>
    <w:p>
      <w:pPr>
        <w:spacing w:line="400" w:lineRule="atLeast"/>
        <w:ind w:firstLine="480"/>
        <w:rPr>
          <w:sz w:val="24"/>
        </w:rPr>
      </w:pPr>
      <w:r>
        <w:rPr>
          <w:rFonts w:hint="eastAsia"/>
          <w:sz w:val="24"/>
        </w:rPr>
        <w:t>（14）承包人办理证件和批件</w:t>
      </w:r>
    </w:p>
    <w:p>
      <w:pPr>
        <w:spacing w:line="400" w:lineRule="atLeast"/>
        <w:ind w:firstLine="480"/>
        <w:rPr>
          <w:sz w:val="24"/>
        </w:rPr>
      </w:pPr>
      <w:r>
        <w:rPr>
          <w:rFonts w:hint="eastAsia"/>
          <w:sz w:val="24"/>
        </w:rPr>
        <w:t>承包人应认真调查并负责水上水下安全维护、航道维护、铁路、公路、河道、自来水管道、石油管道、燃气管道、泵站、节制闸、灌溉设施、水利设施、军事设施、各种测量观测设施等相关许可办理，并负责上述设施施工过程中的保护。</w:t>
      </w:r>
    </w:p>
    <w:p>
      <w:pPr>
        <w:spacing w:line="400" w:lineRule="atLeast"/>
        <w:ind w:firstLine="470" w:firstLineChars="196"/>
        <w:rPr>
          <w:rFonts w:eastAsia="黑体"/>
          <w:sz w:val="24"/>
        </w:rPr>
      </w:pPr>
      <w:r>
        <w:rPr>
          <w:sz w:val="24"/>
        </w:rPr>
        <w:t xml:space="preserve">4.1.10 </w:t>
      </w:r>
      <w:r>
        <w:rPr>
          <w:rFonts w:eastAsia="黑体"/>
          <w:sz w:val="24"/>
        </w:rPr>
        <w:t>其他义务</w:t>
      </w:r>
    </w:p>
    <w:p>
      <w:pPr>
        <w:spacing w:line="400" w:lineRule="atLeast"/>
        <w:ind w:firstLine="390" w:firstLineChars="0"/>
        <w:rPr>
          <w:sz w:val="24"/>
        </w:rPr>
      </w:pPr>
      <w:r>
        <w:rPr>
          <w:sz w:val="24"/>
        </w:rPr>
        <w:t>（4）承包人应履行的其他义务：</w:t>
      </w:r>
      <w:r>
        <w:rPr>
          <w:sz w:val="24"/>
          <w:u w:val="single"/>
        </w:rPr>
        <w:t xml:space="preserve">                       </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4.</w:t>
      </w:r>
      <w:r>
        <w:rPr>
          <w:rFonts w:hint="eastAsia" w:eastAsia="黑体"/>
          <w:kern w:val="0"/>
          <w:sz w:val="24"/>
          <w:szCs w:val="20"/>
        </w:rPr>
        <w:t>8</w:t>
      </w:r>
      <w:r>
        <w:rPr>
          <w:rFonts w:eastAsia="黑体"/>
          <w:kern w:val="0"/>
          <w:sz w:val="24"/>
          <w:szCs w:val="20"/>
        </w:rPr>
        <w:t xml:space="preserve"> </w:t>
      </w:r>
      <w:r>
        <w:rPr>
          <w:rFonts w:hint="eastAsia" w:eastAsia="黑体"/>
          <w:kern w:val="0"/>
          <w:sz w:val="24"/>
          <w:szCs w:val="20"/>
        </w:rPr>
        <w:t>保障承包人人员的合法权益</w:t>
      </w:r>
    </w:p>
    <w:p>
      <w:pPr>
        <w:widowControl/>
        <w:spacing w:line="420" w:lineRule="atLeast"/>
        <w:ind w:firstLine="480"/>
        <w:rPr>
          <w:sz w:val="24"/>
          <w:u w:val="single"/>
        </w:rPr>
      </w:pPr>
      <w:r>
        <w:rPr>
          <w:rFonts w:hint="eastAsia"/>
          <w:sz w:val="24"/>
          <w:u w:val="single"/>
        </w:rPr>
        <w:t>4.8.1本项补充</w:t>
      </w:r>
    </w:p>
    <w:p>
      <w:pPr>
        <w:spacing w:line="400" w:lineRule="atLeast"/>
        <w:ind w:firstLine="390" w:firstLineChars="0"/>
        <w:rPr>
          <w:sz w:val="24"/>
          <w:u w:val="single"/>
        </w:rPr>
      </w:pPr>
      <w:r>
        <w:rPr>
          <w:rFonts w:hint="eastAsia"/>
          <w:sz w:val="24"/>
          <w:u w:val="single"/>
        </w:rPr>
        <w:t>承包人在工程实施过程中的用工行为，必须严格按照《国务院办公厅关于全面治理拖欠农民工工资问题的意见》（国办发〔2016〕1号）、《安徽省人民政府办公厅关于全面治理拖欠农民工工资问题的实施意见》（皖政办〔2016〕22号）以及《合肥市人民政府办公厅关于全面治理拖欠农民工工资问题的实施意见》（合政办〔2017〕37号）等文件精神的有关规定，依法与招用的农民工签订劳动合同，并按规定及时足额支付工资。承包人必须在合肥市市域范围内银行设立农民工工资专用账户，专户资金使用、监管严格按照《合肥市建设领域农民工工资专用账户管理意见》（合政办[2013]55号文件）执行。</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4.9 工程价款应专款专用</w:t>
      </w:r>
    </w:p>
    <w:p>
      <w:pPr>
        <w:spacing w:line="400" w:lineRule="atLeast"/>
        <w:ind w:firstLine="480"/>
        <w:rPr>
          <w:sz w:val="24"/>
        </w:rPr>
      </w:pPr>
      <w:r>
        <w:rPr>
          <w:sz w:val="24"/>
        </w:rPr>
        <w:t>本款细化为：</w:t>
      </w:r>
    </w:p>
    <w:p>
      <w:pPr>
        <w:spacing w:line="400" w:lineRule="atLeast"/>
        <w:ind w:firstLine="480"/>
        <w:rPr>
          <w:sz w:val="24"/>
        </w:rPr>
      </w:pPr>
      <w:r>
        <w:rPr>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 xml:space="preserve">4.11 </w:t>
      </w:r>
      <w:r>
        <w:rPr>
          <w:rFonts w:hint="eastAsia" w:eastAsia="黑体"/>
          <w:kern w:val="0"/>
          <w:sz w:val="24"/>
          <w:szCs w:val="20"/>
        </w:rPr>
        <w:t>不利物质条件的范围：_</w:t>
      </w:r>
      <w:r>
        <w:rPr>
          <w:rFonts w:eastAsia="黑体"/>
          <w:kern w:val="0"/>
          <w:sz w:val="24"/>
          <w:szCs w:val="20"/>
        </w:rPr>
        <w:t>__________________</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8.1 施工控制网</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hint="eastAsia" w:eastAsia="黑体"/>
          <w:kern w:val="0"/>
          <w:sz w:val="24"/>
          <w:szCs w:val="20"/>
        </w:rPr>
        <w:t>8.1.1 本项补充：</w:t>
      </w:r>
    </w:p>
    <w:p>
      <w:pPr>
        <w:spacing w:line="400" w:lineRule="atLeast"/>
        <w:ind w:firstLine="480"/>
        <w:rPr>
          <w:sz w:val="24"/>
        </w:rPr>
      </w:pPr>
      <w:r>
        <w:rPr>
          <w:rFonts w:hint="eastAsia"/>
          <w:sz w:val="24"/>
        </w:rPr>
        <w:t>承包人有义务对监理人提交测量基准点、基准线、水准点原始数据及施工控制网进行复核，承包人未尽复核义务而造成不良后果和损失的，其责任和费用由承包人承担。</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9.2 承包人的施工安全责任</w:t>
      </w:r>
    </w:p>
    <w:p>
      <w:pPr>
        <w:spacing w:line="400" w:lineRule="atLeast"/>
        <w:ind w:firstLine="480"/>
        <w:rPr>
          <w:sz w:val="24"/>
        </w:rPr>
      </w:pPr>
      <w:r>
        <w:rPr>
          <w:sz w:val="24"/>
        </w:rPr>
        <w:t>第9.2.5项细化为：</w:t>
      </w:r>
    </w:p>
    <w:p>
      <w:pPr>
        <w:spacing w:line="400" w:lineRule="atLeast"/>
        <w:ind w:firstLine="480"/>
        <w:rPr>
          <w:sz w:val="24"/>
        </w:rPr>
      </w:pPr>
      <w:r>
        <w:rPr>
          <w:rFonts w:hint="eastAsia"/>
          <w:sz w:val="24"/>
        </w:rPr>
        <w:t>安全生产费为第100章至第700章合计报价总额(不含安全生产费及建筑工程一切险及第三者责任险的保险费)的1.5％</w:t>
      </w:r>
      <w:r>
        <w:rPr>
          <w:sz w:val="24"/>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400" w:lineRule="atLeast"/>
        <w:ind w:firstLine="480"/>
        <w:rPr>
          <w:sz w:val="24"/>
        </w:rPr>
      </w:pPr>
      <w:r>
        <w:rPr>
          <w:sz w:val="24"/>
        </w:rPr>
        <w:t>第9.2.8（4）项细化为：</w:t>
      </w:r>
    </w:p>
    <w:p>
      <w:pPr>
        <w:spacing w:line="400" w:lineRule="atLeast"/>
        <w:ind w:firstLine="480"/>
        <w:rPr>
          <w:sz w:val="24"/>
        </w:rPr>
      </w:pPr>
      <w:r>
        <w:rPr>
          <w:sz w:val="24"/>
        </w:rPr>
        <w:t>（4）根据本合同各单位工程的施工特点，严格执行《公路水运工程安全生产监督管理办法》、《公路工程施工安全技术规程》、《公路筑养路机械操作规程》的具体规定。</w:t>
      </w:r>
    </w:p>
    <w:p>
      <w:pPr>
        <w:spacing w:line="400" w:lineRule="atLeast"/>
        <w:ind w:firstLine="480"/>
        <w:rPr>
          <w:sz w:val="24"/>
        </w:rPr>
      </w:pPr>
      <w:r>
        <w:rPr>
          <w:rFonts w:hint="eastAsia"/>
          <w:sz w:val="24"/>
        </w:rPr>
        <w:t>本款补充第9.2.12项：</w:t>
      </w:r>
    </w:p>
    <w:p>
      <w:pPr>
        <w:spacing w:line="400" w:lineRule="atLeast"/>
        <w:ind w:firstLine="480"/>
        <w:rPr>
          <w:sz w:val="24"/>
        </w:rPr>
      </w:pPr>
      <w:r>
        <w:rPr>
          <w:sz w:val="24"/>
        </w:rPr>
        <w:t>9.2.12 在实施和完成本合同工程及其缺陷修复的整个过程中，承包人应该：</w:t>
      </w:r>
    </w:p>
    <w:p>
      <w:pPr>
        <w:spacing w:line="400" w:lineRule="atLeast"/>
        <w:ind w:firstLine="480"/>
        <w:rPr>
          <w:sz w:val="24"/>
        </w:rPr>
      </w:pPr>
      <w:r>
        <w:rPr>
          <w:sz w:val="24"/>
        </w:rPr>
        <w:t>（1）充分关注和保障所有在现场工作的人员的安全，采取有效措施，使现场和本合同工程的实施保持有条不紊，以免使上述人员的安全受到威胁。</w:t>
      </w:r>
    </w:p>
    <w:p>
      <w:pPr>
        <w:spacing w:line="400" w:lineRule="atLeast"/>
        <w:ind w:firstLine="480"/>
        <w:rPr>
          <w:sz w:val="24"/>
        </w:rPr>
      </w:pPr>
      <w:r>
        <w:rPr>
          <w:sz w:val="24"/>
        </w:rPr>
        <w:t>a.特殊工种（电工、起重工、电焊工、车船驾驶员、爆破工、瓦斯检查员等）要经专业培训，并持有专业主管部门签发的合格证上岗；</w:t>
      </w:r>
    </w:p>
    <w:p>
      <w:pPr>
        <w:spacing w:line="400" w:lineRule="atLeast"/>
        <w:ind w:firstLine="480"/>
        <w:rPr>
          <w:sz w:val="24"/>
        </w:rPr>
      </w:pPr>
      <w:r>
        <w:rPr>
          <w:sz w:val="24"/>
        </w:rPr>
        <w:t>b.对于易燃易爆的材料除应专门妥善保管之外，还应配备有足够的消防设备，所有施工人员都应熟悉消防设备的性能和使用方法；</w:t>
      </w:r>
    </w:p>
    <w:p>
      <w:pPr>
        <w:spacing w:line="400" w:lineRule="atLeast"/>
        <w:ind w:firstLine="480"/>
        <w:rPr>
          <w:sz w:val="24"/>
        </w:rPr>
      </w:pPr>
      <w:r>
        <w:rPr>
          <w:sz w:val="24"/>
        </w:rPr>
        <w:t>c.所有施工机具设备均应自费定期按国家和行业主管部门的有关规定进行检测和标定，并将检测结果报监理工程师；</w:t>
      </w:r>
    </w:p>
    <w:p>
      <w:pPr>
        <w:spacing w:line="400" w:lineRule="atLeast"/>
        <w:ind w:firstLine="480"/>
        <w:rPr>
          <w:sz w:val="24"/>
        </w:rPr>
      </w:pPr>
      <w:r>
        <w:rPr>
          <w:sz w:val="24"/>
        </w:rPr>
        <w:t>d.根据本合同各单位工程的施工特点，严格执行交通部有关规范的具体规定。</w:t>
      </w:r>
    </w:p>
    <w:p>
      <w:pPr>
        <w:spacing w:line="400" w:lineRule="atLeast"/>
        <w:ind w:firstLine="480"/>
        <w:rPr>
          <w:sz w:val="24"/>
        </w:rPr>
      </w:pPr>
      <w:r>
        <w:rPr>
          <w:sz w:val="24"/>
        </w:rPr>
        <w:t>（2） 安全生产专项费用应当用于施工安全防护用具及设施的采购和更新、安全施工措施的落实、安全生产条件的改善，不得挪作他用。</w:t>
      </w:r>
    </w:p>
    <w:p>
      <w:pPr>
        <w:spacing w:line="400" w:lineRule="atLeast"/>
        <w:ind w:firstLine="480"/>
        <w:rPr>
          <w:sz w:val="24"/>
        </w:rPr>
      </w:pPr>
      <w:r>
        <w:rPr>
          <w:sz w:val="24"/>
        </w:rPr>
        <w:t>（3）为了保护本合同工程免遭损坏，或为了现场附近和过往群众的安全与方便，在确有必要的时候和地方，或当监理工程师或有关主管部门要求时，应提供照明、警卫、护栅、警告标志等安全防护设施。</w:t>
      </w:r>
    </w:p>
    <w:p>
      <w:pPr>
        <w:spacing w:line="400" w:lineRule="atLeast"/>
        <w:ind w:firstLine="480"/>
        <w:rPr>
          <w:sz w:val="24"/>
        </w:rPr>
      </w:pPr>
      <w:r>
        <w:rPr>
          <w:sz w:val="24"/>
        </w:rPr>
        <w:t>（</w:t>
      </w:r>
      <w:r>
        <w:rPr>
          <w:rFonts w:hint="eastAsia"/>
          <w:sz w:val="24"/>
        </w:rPr>
        <w:t>4</w:t>
      </w:r>
      <w:r>
        <w:rPr>
          <w:sz w:val="24"/>
        </w:rPr>
        <w:t>）承包人应遵守环境保护法，并切实执行技术规范700章和其他章节中有关环境保护方面的要求和规定。</w:t>
      </w:r>
    </w:p>
    <w:p>
      <w:pPr>
        <w:spacing w:line="400" w:lineRule="atLeast"/>
        <w:ind w:firstLine="480"/>
        <w:rPr>
          <w:sz w:val="24"/>
        </w:rPr>
      </w:pPr>
      <w:r>
        <w:rPr>
          <w:sz w:val="24"/>
        </w:rPr>
        <w:t>a.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取得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00" w:lineRule="atLeast"/>
        <w:ind w:firstLine="480"/>
        <w:rPr>
          <w:sz w:val="24"/>
        </w:rPr>
      </w:pPr>
      <w:r>
        <w:rPr>
          <w:sz w:val="24"/>
        </w:rPr>
        <w:t>b.对于公路施工中粉尘污染的主要污染源——施工车辆和筑路机械运行和运输产生的扬尘，应采取有效措施减轻施工现场的大气污染，保护人民健康，如：</w:t>
      </w:r>
    </w:p>
    <w:p>
      <w:pPr>
        <w:spacing w:line="400" w:lineRule="atLeast"/>
        <w:ind w:firstLine="480"/>
        <w:rPr>
          <w:sz w:val="24"/>
        </w:rPr>
      </w:pPr>
      <w:r>
        <w:rPr>
          <w:sz w:val="24"/>
        </w:rPr>
        <w:t>（a）拌和设备应有较好的密封，或有防尘设备。</w:t>
      </w:r>
    </w:p>
    <w:p>
      <w:pPr>
        <w:spacing w:line="400" w:lineRule="atLeast"/>
        <w:ind w:firstLine="480"/>
        <w:rPr>
          <w:sz w:val="24"/>
        </w:rPr>
      </w:pPr>
      <w:r>
        <w:rPr>
          <w:sz w:val="24"/>
        </w:rPr>
        <w:t>（b）施工通道、水泥混凝土拌和站及灰土拌和站应经常进行洒水降尘。</w:t>
      </w:r>
    </w:p>
    <w:p>
      <w:pPr>
        <w:spacing w:line="400" w:lineRule="atLeast"/>
        <w:ind w:firstLine="480"/>
        <w:rPr>
          <w:sz w:val="24"/>
        </w:rPr>
      </w:pPr>
      <w:r>
        <w:rPr>
          <w:sz w:val="24"/>
        </w:rPr>
        <w:t>c．采取可靠措施保证原有交通的正常通行，维持沿线村镇的居民饮水、农田灌溉、生产生活用电及通讯等管线的正常使用。</w:t>
      </w:r>
    </w:p>
    <w:p>
      <w:pPr>
        <w:spacing w:line="400" w:lineRule="atLeast"/>
        <w:ind w:firstLine="480"/>
        <w:rPr>
          <w:sz w:val="24"/>
        </w:rPr>
      </w:pPr>
      <w:r>
        <w:rPr>
          <w:sz w:val="24"/>
        </w:rPr>
        <w:t>d.承包人必须采取有效措施，按相关法律、法规、条例、办法的相关规定，到当地公安管理机关办理相关手续，建造符合要求的易燃、易爆危险品保管仓库，完善管理制度，24小时专人值班，加强防范工作，避免发生意外事故。</w:t>
      </w:r>
    </w:p>
    <w:p>
      <w:pPr>
        <w:spacing w:line="400" w:lineRule="atLeast"/>
        <w:ind w:firstLine="480"/>
        <w:rPr>
          <w:sz w:val="24"/>
        </w:rPr>
      </w:pPr>
      <w:r>
        <w:rPr>
          <w:sz w:val="24"/>
        </w:rPr>
        <w:t>e.承包人应采取充分措施，避免因施工危害第三方的安全，包括电力线路、通信线路、水利沟渠管道、居民房屋、过往车辆及人员、森林火灾等。</w:t>
      </w:r>
    </w:p>
    <w:p>
      <w:pPr>
        <w:spacing w:line="400" w:lineRule="atLeast"/>
        <w:ind w:firstLine="480"/>
        <w:rPr>
          <w:sz w:val="24"/>
        </w:rPr>
      </w:pPr>
      <w:r>
        <w:rPr>
          <w:sz w:val="24"/>
        </w:rPr>
        <w:t>f.承包人及所属施工单位职工、农民工在选择驻地、仓库时，必须避免可能发生洪水、雷击等地段，避免发生人员伤亡和财产损失。</w:t>
      </w:r>
    </w:p>
    <w:p>
      <w:pPr>
        <w:spacing w:line="400" w:lineRule="atLeast"/>
        <w:ind w:firstLine="480"/>
        <w:rPr>
          <w:sz w:val="24"/>
        </w:rPr>
      </w:pPr>
      <w:r>
        <w:rPr>
          <w:sz w:val="24"/>
        </w:rPr>
        <w:t>g.承包人应加强环境保护意识，坚持文明施工，严禁野蛮施工、任意堆、弃废土，破坏或污染周围的环境。在经过邻近的河流、湖泊、水库等水利工程设施以及各类管线时，要明确施工操作程序，采取必需的预防措施，避免发生堵塞、填塞或污染河流、湖泊、水库、耕地或损伤各类管线、影响管线的正常使用等。</w:t>
      </w:r>
    </w:p>
    <w:p>
      <w:pPr>
        <w:spacing w:line="400" w:lineRule="atLeast"/>
        <w:ind w:firstLine="480"/>
        <w:rPr>
          <w:sz w:val="24"/>
        </w:rPr>
      </w:pPr>
      <w:r>
        <w:rPr>
          <w:sz w:val="24"/>
        </w:rPr>
        <w:t>（</w:t>
      </w:r>
      <w:r>
        <w:rPr>
          <w:rFonts w:hint="eastAsia"/>
          <w:sz w:val="24"/>
        </w:rPr>
        <w:t>5</w:t>
      </w:r>
      <w:r>
        <w:rPr>
          <w:sz w:val="24"/>
        </w:rPr>
        <w:t>）承包人在施工过程中要加强生态保护及水土保持工作，采取切实措施保护生态环境，避免因施工破坏当地生态保护及水土保持。</w:t>
      </w:r>
    </w:p>
    <w:p>
      <w:pPr>
        <w:spacing w:line="400" w:lineRule="atLeast"/>
        <w:ind w:firstLine="480"/>
        <w:rPr>
          <w:sz w:val="24"/>
        </w:rPr>
      </w:pPr>
      <w:r>
        <w:rPr>
          <w:sz w:val="24"/>
        </w:rPr>
        <w:t>在整个施工过程中对承包人采取的安全、保卫和环境保护措施，</w:t>
      </w:r>
      <w:r>
        <w:rPr>
          <w:rFonts w:hint="eastAsia"/>
          <w:sz w:val="24"/>
        </w:rPr>
        <w:t>发包人</w:t>
      </w:r>
      <w:r>
        <w:rPr>
          <w:sz w:val="24"/>
        </w:rPr>
        <w:t>和监理工程师有权监督，并向承包人提出整改要求。如果由于承包人未能对其负责的上述事项采取各种必要的措施而导致或发生与此有关的人身伤亡、病残、罚款、索赔、损失补偿、诉讼费用及其他一切责任应由承包人负责，</w:t>
      </w:r>
      <w:r>
        <w:rPr>
          <w:rFonts w:hint="eastAsia"/>
          <w:sz w:val="24"/>
        </w:rPr>
        <w:t>发包人</w:t>
      </w:r>
      <w:r>
        <w:rPr>
          <w:sz w:val="24"/>
        </w:rPr>
        <w:t>不承担任何责任和费用。</w:t>
      </w:r>
      <w:bookmarkStart w:id="486" w:name="_Toc264550566"/>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hint="eastAsia" w:eastAsia="黑体"/>
          <w:kern w:val="0"/>
          <w:sz w:val="24"/>
          <w:szCs w:val="20"/>
        </w:rPr>
        <w:t>10.工程进度</w:t>
      </w:r>
      <w:bookmarkEnd w:id="486"/>
      <w:bookmarkStart w:id="487" w:name="_Toc264550567"/>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hint="eastAsia" w:eastAsia="黑体"/>
          <w:kern w:val="0"/>
          <w:sz w:val="24"/>
          <w:szCs w:val="20"/>
        </w:rPr>
        <w:t>10.1 合同进度计划</w:t>
      </w:r>
      <w:bookmarkEnd w:id="487"/>
    </w:p>
    <w:p>
      <w:pPr>
        <w:spacing w:line="400" w:lineRule="atLeast"/>
        <w:ind w:firstLine="480"/>
        <w:rPr>
          <w:sz w:val="24"/>
        </w:rPr>
      </w:pPr>
      <w:r>
        <w:rPr>
          <w:rFonts w:hint="eastAsia"/>
          <w:sz w:val="24"/>
        </w:rPr>
        <w:t>承包人编制施工方案的内容： 应符合监理工程师规定的工程进度计划，包括施工总体计划、年度计划、季度计划、月计划，以及为完成该计划而建议采用的实施性施工安排和施工方案的说明，工程进度计划还应列出工程项目的计划开工和完工时间，施工方法和顺序、材料和设备等资源的获得与安排、人力资源的组织等。</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hint="eastAsia" w:eastAsia="黑体"/>
          <w:kern w:val="0"/>
          <w:sz w:val="24"/>
          <w:szCs w:val="20"/>
        </w:rPr>
        <w:t>10.2</w:t>
      </w:r>
      <w:r>
        <w:rPr>
          <w:rFonts w:eastAsia="黑体"/>
          <w:kern w:val="0"/>
          <w:sz w:val="24"/>
          <w:szCs w:val="20"/>
        </w:rPr>
        <w:t xml:space="preserve"> </w:t>
      </w:r>
      <w:r>
        <w:rPr>
          <w:rFonts w:hint="eastAsia" w:eastAsia="黑体"/>
          <w:kern w:val="0"/>
          <w:sz w:val="24"/>
          <w:szCs w:val="20"/>
        </w:rPr>
        <w:t>合同进度计划的修订</w:t>
      </w:r>
    </w:p>
    <w:p>
      <w:pPr>
        <w:spacing w:line="400" w:lineRule="atLeast"/>
        <w:ind w:firstLine="480"/>
        <w:rPr>
          <w:sz w:val="24"/>
        </w:rPr>
      </w:pPr>
      <w:r>
        <w:rPr>
          <w:rFonts w:hint="eastAsia"/>
          <w:sz w:val="24"/>
        </w:rPr>
        <w:t>本款补充：承包人应在确保合同工期的前提下，每月向监理工程师提交1次工程进度修订计划，以确保工程在预定工期内竣工。上报的工程进度计划，应保证在计划工期内完成。</w:t>
      </w:r>
    </w:p>
    <w:p>
      <w:pPr>
        <w:spacing w:line="400" w:lineRule="atLeast"/>
        <w:ind w:firstLine="480"/>
        <w:rPr>
          <w:sz w:val="24"/>
        </w:rPr>
      </w:pPr>
      <w:r>
        <w:rPr>
          <w:rFonts w:hint="eastAsia"/>
          <w:sz w:val="24"/>
        </w:rPr>
        <w:t>承包人提交合同进度计划修订申请报告，并附有关措施和相关资料的期限：当月25日前。</w:t>
      </w:r>
    </w:p>
    <w:p>
      <w:pPr>
        <w:spacing w:line="400" w:lineRule="atLeast"/>
        <w:ind w:firstLine="480"/>
        <w:rPr>
          <w:sz w:val="24"/>
        </w:rPr>
      </w:pPr>
      <w:r>
        <w:rPr>
          <w:rFonts w:hint="eastAsia"/>
          <w:sz w:val="24"/>
        </w:rPr>
        <w:t>监理人批复修订合同进度计划的期限：收到修订合同进度计划后14天内。</w:t>
      </w:r>
    </w:p>
    <w:p>
      <w:pPr>
        <w:spacing w:line="400" w:lineRule="atLeast"/>
        <w:ind w:firstLine="0" w:firstLineChars="0"/>
        <w:rPr>
          <w:sz w:val="24"/>
        </w:rPr>
      </w:pPr>
      <w:r>
        <w:rPr>
          <w:rFonts w:hint="eastAsia"/>
          <w:sz w:val="24"/>
        </w:rPr>
        <w:t>增加10.5款：</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hint="eastAsia" w:eastAsia="黑体"/>
          <w:kern w:val="0"/>
          <w:sz w:val="24"/>
          <w:szCs w:val="20"/>
        </w:rPr>
        <w:t>1</w:t>
      </w:r>
      <w:r>
        <w:rPr>
          <w:rFonts w:eastAsia="黑体"/>
          <w:kern w:val="0"/>
          <w:sz w:val="24"/>
          <w:szCs w:val="20"/>
        </w:rPr>
        <w:t xml:space="preserve">0.5 </w:t>
      </w:r>
      <w:r>
        <w:rPr>
          <w:rFonts w:hint="eastAsia" w:eastAsia="黑体"/>
          <w:kern w:val="0"/>
          <w:sz w:val="24"/>
          <w:szCs w:val="20"/>
        </w:rPr>
        <w:t>月进度计划的制度和检查</w:t>
      </w:r>
    </w:p>
    <w:p>
      <w:pPr>
        <w:spacing w:line="400" w:lineRule="atLeast"/>
        <w:ind w:firstLine="480"/>
        <w:rPr>
          <w:sz w:val="24"/>
        </w:rPr>
      </w:pPr>
      <w:r>
        <w:rPr>
          <w:rFonts w:hint="eastAsia"/>
          <w:sz w:val="24"/>
        </w:rPr>
        <w:t>承包人需根据年进度计划在每月25日前将下月进度计划提交监理工程师并在每月中期结算单中附上当月计划执行情况，并分析影响进度的原因，对下月计划进度进行调整，报监理工程师批准。</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hint="eastAsia" w:eastAsia="黑体"/>
          <w:kern w:val="0"/>
          <w:sz w:val="24"/>
          <w:szCs w:val="20"/>
        </w:rPr>
        <w:t>11.开工和交工</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11.1开工</w:t>
      </w:r>
    </w:p>
    <w:p>
      <w:pPr>
        <w:spacing w:line="400" w:lineRule="atLeast"/>
        <w:ind w:firstLine="480"/>
        <w:rPr>
          <w:sz w:val="24"/>
        </w:rPr>
      </w:pPr>
      <w:r>
        <w:rPr>
          <w:sz w:val="24"/>
        </w:rPr>
        <w:t>本款补充第11.1.3项：</w:t>
      </w:r>
    </w:p>
    <w:p>
      <w:pPr>
        <w:spacing w:line="400" w:lineRule="atLeast"/>
        <w:ind w:firstLine="480"/>
        <w:rPr>
          <w:sz w:val="24"/>
        </w:rPr>
      </w:pPr>
      <w:r>
        <w:rPr>
          <w:sz w:val="24"/>
        </w:rPr>
        <w:t>承包人应在签订合同协议书后28天内向监理人提交开工报告，主要内容应包括：施工管理机构的建立，劳务、机械设备、材料的进场情况，临时设施的修建及总体施工组织设计等。</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11.2竣工</w:t>
      </w:r>
    </w:p>
    <w:p>
      <w:pPr>
        <w:spacing w:line="400" w:lineRule="atLeast"/>
        <w:ind w:firstLine="480"/>
        <w:rPr>
          <w:sz w:val="24"/>
        </w:rPr>
      </w:pPr>
      <w:r>
        <w:rPr>
          <w:sz w:val="24"/>
        </w:rPr>
        <w:t>本款补充：</w:t>
      </w:r>
    </w:p>
    <w:p>
      <w:pPr>
        <w:spacing w:line="400" w:lineRule="atLeast"/>
        <w:ind w:firstLine="480"/>
        <w:rPr>
          <w:sz w:val="24"/>
        </w:rPr>
      </w:pPr>
      <w:r>
        <w:rPr>
          <w:sz w:val="24"/>
        </w:rPr>
        <w:t>承包人应按照交通运输部《公路工程竣工验收办法实施细则》的内容和要求编制竣工图表和施工文件。各分部（项）工程的竣工图须在有关工程完工后在发包人规定的时间内提交监理人审查，全部工程完工后，在全部工程的交工证书签发之前，承包人须向发包人提交2整套监理人认为完整、合格的竣工文件。缺陷责任期内应补充竣工资料，应在签发缺陷责任证书之前提交。</w:t>
      </w:r>
    </w:p>
    <w:p>
      <w:pPr>
        <w:spacing w:line="400" w:lineRule="atLeast"/>
        <w:ind w:firstLine="480"/>
        <w:rPr>
          <w:sz w:val="24"/>
        </w:rPr>
      </w:pPr>
      <w:r>
        <w:rPr>
          <w:sz w:val="24"/>
        </w:rPr>
        <w:t>如果发包人审查后认为承包人提交的资料仍存在缺陷，则可以委托其他有能力的单位完善竣工资料，其费用由承包人承担。</w:t>
      </w:r>
    </w:p>
    <w:p>
      <w:pPr>
        <w:spacing w:line="400" w:lineRule="atLeast"/>
        <w:ind w:firstLine="480"/>
        <w:rPr>
          <w:sz w:val="24"/>
        </w:rPr>
      </w:pPr>
      <w:r>
        <w:rPr>
          <w:sz w:val="24"/>
        </w:rPr>
        <w:t>承包人在完成施工图表等竣工文件的同时，还应按交通运输部相关规定编制由承包人实施的工程竣工财务结算（含电子文档），报监理人审核，作为竣工文件的一部分。</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11.4异常恶劣的气候条件</w:t>
      </w:r>
    </w:p>
    <w:p>
      <w:pPr>
        <w:spacing w:line="400" w:lineRule="atLeast"/>
        <w:ind w:firstLine="480"/>
        <w:rPr>
          <w:sz w:val="24"/>
        </w:rPr>
      </w:pPr>
      <w:r>
        <w:rPr>
          <w:rFonts w:hint="eastAsia"/>
          <w:sz w:val="24"/>
        </w:rPr>
        <w:t>本款补充：异常恶劣的气候条件是指以月计的某个时期恶劣气候比较当地气象部门多年统计资料，比50年一遇频率计算的气候还要恶劣的气候。由此引起工程延误由监理工程师根据承包人提交的由气象部门提供的统计资料证明予以评定。但评定时应考虑按同等标准以同期或其它月份良好的气候予以抵补。异常恶劣气候对工程进度影响的评定，应在整个合同期内予以累计。承包人提供的气候条件资料应由当地县级以上（含县级）气象部门出具。</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11.5承包人的工期延误</w:t>
      </w:r>
    </w:p>
    <w:p>
      <w:pPr>
        <w:spacing w:line="400" w:lineRule="atLeast"/>
        <w:ind w:firstLine="480"/>
        <w:rPr>
          <w:sz w:val="24"/>
        </w:rPr>
      </w:pPr>
      <w:r>
        <w:rPr>
          <w:sz w:val="24"/>
        </w:rPr>
        <w:t>本款补充：</w:t>
      </w:r>
    </w:p>
    <w:p>
      <w:pPr>
        <w:spacing w:line="400" w:lineRule="atLeast"/>
        <w:ind w:firstLine="480"/>
        <w:rPr>
          <w:sz w:val="24"/>
        </w:rPr>
      </w:pPr>
      <w:r>
        <w:rPr>
          <w:sz w:val="24"/>
        </w:rPr>
        <w:t>若承包人的实际工程进度不满足发包人的总体计划或阶段计划时，则监理人有权认为本合同工程的进度过慢，并通知承包人采取必要措施，以便加快工程进度，确保工程能在预定的工期内竣工。承包人无权要求支付任何附加费用。</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12.1承包人暂停施工的责任</w:t>
      </w:r>
    </w:p>
    <w:p>
      <w:pPr>
        <w:spacing w:line="400" w:lineRule="atLeast"/>
        <w:ind w:firstLine="480"/>
        <w:rPr>
          <w:sz w:val="24"/>
        </w:rPr>
      </w:pPr>
      <w:r>
        <w:rPr>
          <w:sz w:val="24"/>
        </w:rPr>
        <w:t>本款第（6）项细化为：</w:t>
      </w:r>
    </w:p>
    <w:p>
      <w:pPr>
        <w:spacing w:line="400" w:lineRule="atLeast"/>
        <w:ind w:firstLine="480"/>
        <w:rPr>
          <w:sz w:val="24"/>
        </w:rPr>
      </w:pPr>
      <w:r>
        <w:rPr>
          <w:sz w:val="24"/>
        </w:rPr>
        <w:t>（6）由于承包人未履行合同条款规定的职责引起地方阻工的暂停施工。</w:t>
      </w:r>
      <w:bookmarkStart w:id="488" w:name="_Toc264550571"/>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hint="eastAsia" w:eastAsia="黑体"/>
          <w:kern w:val="0"/>
          <w:sz w:val="24"/>
          <w:szCs w:val="20"/>
        </w:rPr>
        <w:t>14. 试验和检验</w:t>
      </w:r>
      <w:bookmarkEnd w:id="488"/>
    </w:p>
    <w:p>
      <w:pPr>
        <w:spacing w:line="400" w:lineRule="atLeast"/>
        <w:ind w:firstLine="480"/>
        <w:rPr>
          <w:sz w:val="24"/>
        </w:rPr>
      </w:pPr>
      <w:r>
        <w:rPr>
          <w:rFonts w:hint="eastAsia"/>
          <w:sz w:val="24"/>
        </w:rPr>
        <w:t>必须满足皖交质监局[2012]6号文《安徽省公路水运工程工地试验室建设与管理暂行规定》文件的规定。</w:t>
      </w:r>
    </w:p>
    <w:p>
      <w:pPr>
        <w:keepNext/>
        <w:adjustRightInd w:val="0"/>
        <w:spacing w:before="200" w:after="200" w:line="400" w:lineRule="exact"/>
        <w:ind w:firstLine="0" w:firstLineChars="0"/>
        <w:jc w:val="left"/>
        <w:textAlignment w:val="baseline"/>
        <w:outlineLvl w:val="3"/>
        <w:rPr>
          <w:rFonts w:eastAsia="黑体"/>
          <w:kern w:val="0"/>
          <w:sz w:val="24"/>
          <w:szCs w:val="20"/>
        </w:rPr>
      </w:pPr>
      <w:bookmarkStart w:id="489" w:name="_Toc221951214"/>
      <w:bookmarkStart w:id="490" w:name="_Toc369245145"/>
      <w:bookmarkStart w:id="491" w:name="_Toc479262671"/>
      <w:r>
        <w:rPr>
          <w:rFonts w:eastAsia="黑体"/>
          <w:kern w:val="0"/>
          <w:sz w:val="24"/>
          <w:szCs w:val="20"/>
        </w:rPr>
        <w:t>15.1变更的范围和内容</w:t>
      </w:r>
      <w:bookmarkEnd w:id="489"/>
      <w:bookmarkEnd w:id="490"/>
      <w:bookmarkEnd w:id="491"/>
    </w:p>
    <w:p>
      <w:pPr>
        <w:spacing w:line="400" w:lineRule="atLeast"/>
        <w:ind w:firstLine="480"/>
        <w:rPr>
          <w:sz w:val="24"/>
        </w:rPr>
      </w:pPr>
      <w:bookmarkStart w:id="492" w:name="_Toc221951216"/>
      <w:r>
        <w:rPr>
          <w:sz w:val="24"/>
        </w:rPr>
        <w:t>（6）</w:t>
      </w:r>
      <w:bookmarkEnd w:id="492"/>
      <w:r>
        <w:rPr>
          <w:rFonts w:hint="eastAsia"/>
          <w:sz w:val="24"/>
        </w:rPr>
        <w:t>对于总价合同，</w:t>
      </w:r>
      <w:r>
        <w:rPr>
          <w:sz w:val="24"/>
        </w:rPr>
        <w:t>若工程量清单遗漏项目或单项子目工程量误差超过±3%且招标人未在规定的时间前进行修正并重新发布的，对于合肥市市级投资建设项目，其工程变更按照《合肥市人民政府办公厅关于印发合肥市市级投资建设项目变更管理规定的通知》（合政办〔2018〕64号）执行。</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15.4 变更的估价原则</w:t>
      </w:r>
    </w:p>
    <w:p>
      <w:pPr>
        <w:spacing w:line="400" w:lineRule="atLeast"/>
        <w:ind w:firstLine="480"/>
        <w:rPr>
          <w:sz w:val="24"/>
        </w:rPr>
      </w:pPr>
      <w:r>
        <w:rPr>
          <w:rFonts w:hint="eastAsia"/>
          <w:sz w:val="24"/>
        </w:rPr>
        <w:t>本款细化为：</w:t>
      </w:r>
    </w:p>
    <w:p>
      <w:pPr>
        <w:spacing w:line="400" w:lineRule="atLeast"/>
        <w:ind w:firstLine="480"/>
        <w:rPr>
          <w:sz w:val="24"/>
        </w:rPr>
      </w:pPr>
      <w:r>
        <w:rPr>
          <w:sz w:val="24"/>
        </w:rPr>
        <w:t>15.4.1</w:t>
      </w:r>
      <w:r>
        <w:rPr>
          <w:rFonts w:hint="eastAsia"/>
          <w:sz w:val="24"/>
        </w:rPr>
        <w:t>因工程变更引起已标价工程量清单项目或其工程数量发生变化时，按下列规定调整：</w:t>
      </w:r>
    </w:p>
    <w:p>
      <w:pPr>
        <w:spacing w:line="400" w:lineRule="atLeast"/>
        <w:ind w:firstLine="480"/>
        <w:rPr>
          <w:sz w:val="24"/>
        </w:rPr>
      </w:pPr>
      <w:r>
        <w:rPr>
          <w:sz w:val="24"/>
        </w:rPr>
        <w:t xml:space="preserve">15.4.1.1 </w:t>
      </w:r>
      <w:r>
        <w:rPr>
          <w:rFonts w:hint="eastAsia"/>
          <w:sz w:val="24"/>
        </w:rPr>
        <w:t>已标价工程量清单中有适用于变更工程项目的，采用该项目的单价；但对于投标报价中部分子目单价高于最高投标限价相应子目单价的清单项目，工程量增加幅度超过本项目工程数量</w:t>
      </w:r>
      <w:r>
        <w:rPr>
          <w:sz w:val="24"/>
        </w:rPr>
        <w:t>15%</w:t>
      </w:r>
      <w:r>
        <w:rPr>
          <w:rFonts w:hint="eastAsia"/>
          <w:sz w:val="24"/>
        </w:rPr>
        <w:t>（不含</w:t>
      </w:r>
      <w:r>
        <w:rPr>
          <w:sz w:val="24"/>
        </w:rPr>
        <w:t>15%</w:t>
      </w:r>
      <w:r>
        <w:rPr>
          <w:rFonts w:hint="eastAsia"/>
          <w:sz w:val="24"/>
        </w:rPr>
        <w:t>）的，超过</w:t>
      </w:r>
      <w:r>
        <w:rPr>
          <w:sz w:val="24"/>
        </w:rPr>
        <w:t>15%</w:t>
      </w:r>
      <w:r>
        <w:rPr>
          <w:rFonts w:hint="eastAsia"/>
          <w:sz w:val="24"/>
        </w:rPr>
        <w:t>的增加部分工程量的单价按最高投标限价相应子目单价与投标优惠率同比下浮，确定工程变更单价，作为结算的依据；对于投标报价中分部分项工程项目单价低于最高投标限价相应子目单价的</w:t>
      </w:r>
      <w:r>
        <w:rPr>
          <w:sz w:val="24"/>
        </w:rPr>
        <w:t>30%</w:t>
      </w:r>
      <w:r>
        <w:rPr>
          <w:rFonts w:hint="eastAsia"/>
          <w:sz w:val="24"/>
        </w:rPr>
        <w:t>（含</w:t>
      </w:r>
      <w:r>
        <w:rPr>
          <w:sz w:val="24"/>
        </w:rPr>
        <w:t>30%</w:t>
      </w:r>
      <w:r>
        <w:rPr>
          <w:rFonts w:hint="eastAsia"/>
          <w:sz w:val="24"/>
        </w:rPr>
        <w:t>）的清单项目，工程量减少幅度超过本项目工程数量</w:t>
      </w:r>
      <w:r>
        <w:rPr>
          <w:sz w:val="24"/>
        </w:rPr>
        <w:t>15%</w:t>
      </w:r>
      <w:r>
        <w:rPr>
          <w:rFonts w:hint="eastAsia"/>
          <w:sz w:val="24"/>
        </w:rPr>
        <w:t>（不含</w:t>
      </w:r>
      <w:r>
        <w:rPr>
          <w:sz w:val="24"/>
        </w:rPr>
        <w:t>15%</w:t>
      </w:r>
      <w:r>
        <w:rPr>
          <w:rFonts w:hint="eastAsia"/>
          <w:sz w:val="24"/>
        </w:rPr>
        <w:t>）的，超过</w:t>
      </w:r>
      <w:r>
        <w:rPr>
          <w:sz w:val="24"/>
        </w:rPr>
        <w:t>15%</w:t>
      </w:r>
      <w:r>
        <w:rPr>
          <w:rFonts w:hint="eastAsia"/>
          <w:sz w:val="24"/>
        </w:rPr>
        <w:t>的减少部分工程量的单价按最高投标限价相应子目单价与投标优惠率同比下浮，确定工程变更单价，作为结算的依据；</w:t>
      </w:r>
    </w:p>
    <w:p>
      <w:pPr>
        <w:spacing w:line="400" w:lineRule="atLeast"/>
        <w:ind w:firstLine="480"/>
        <w:rPr>
          <w:sz w:val="24"/>
        </w:rPr>
      </w:pPr>
      <w:r>
        <w:rPr>
          <w:sz w:val="24"/>
        </w:rPr>
        <w:t xml:space="preserve">15.4.1.2 </w:t>
      </w:r>
      <w:r>
        <w:rPr>
          <w:rFonts w:hint="eastAsia"/>
          <w:sz w:val="24"/>
        </w:rPr>
        <w:t>已标价工程量清单中没有适用但有类似于变更工程项目的，可在合理范围内参照类似项目的单价。</w:t>
      </w:r>
    </w:p>
    <w:p>
      <w:pPr>
        <w:spacing w:line="400" w:lineRule="atLeast"/>
        <w:ind w:firstLine="480"/>
        <w:rPr>
          <w:sz w:val="24"/>
        </w:rPr>
      </w:pPr>
      <w:r>
        <w:rPr>
          <w:sz w:val="24"/>
        </w:rPr>
        <w:t xml:space="preserve">15.4.1.3 </w:t>
      </w:r>
      <w:r>
        <w:rPr>
          <w:rFonts w:hint="eastAsia"/>
          <w:sz w:val="24"/>
        </w:rPr>
        <w:t>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w:t>
      </w:r>
    </w:p>
    <w:p>
      <w:pPr>
        <w:spacing w:line="400" w:lineRule="atLeast"/>
        <w:ind w:firstLine="480"/>
        <w:rPr>
          <w:sz w:val="24"/>
        </w:rPr>
      </w:pPr>
      <w:r>
        <w:rPr>
          <w:sz w:val="24"/>
        </w:rPr>
        <w:t xml:space="preserve">15.4.1.4 </w:t>
      </w:r>
      <w:r>
        <w:rPr>
          <w:rFonts w:hint="eastAsia"/>
          <w:sz w:val="24"/>
        </w:rPr>
        <w:t>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15.8暂估价</w:t>
      </w:r>
    </w:p>
    <w:p>
      <w:pPr>
        <w:spacing w:line="400" w:lineRule="atLeast"/>
        <w:ind w:firstLine="480"/>
        <w:rPr>
          <w:sz w:val="24"/>
        </w:rPr>
      </w:pPr>
      <w:r>
        <w:rPr>
          <w:rFonts w:hint="eastAsia"/>
          <w:sz w:val="24"/>
        </w:rPr>
        <w:t>15.8.1本款补充：对于依法必须招标的暂估价项目的确认和批准应按相关规定在肥东县公共资源交易中心进行二次招标。</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16.1物价波动引起的价格调整</w:t>
      </w:r>
    </w:p>
    <w:p>
      <w:pPr>
        <w:spacing w:line="400" w:lineRule="atLeast"/>
        <w:ind w:firstLine="480"/>
        <w:rPr>
          <w:sz w:val="24"/>
        </w:rPr>
      </w:pPr>
      <w:r>
        <w:rPr>
          <w:rFonts w:hint="eastAsia"/>
          <w:bCs/>
          <w:sz w:val="24"/>
          <w:u w:val="single"/>
        </w:rPr>
        <w:t>其材料价差在5%以内（含5%）的，由施工单位承担损失或受益，超过5%以上部分的价差，由建设单位承担损失或受益，发承包双方应按照相关规定， 就材料价差调整等问题及时签订补充合同或协议。</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 xml:space="preserve">17.1 </w:t>
      </w:r>
      <w:r>
        <w:rPr>
          <w:rFonts w:hint="eastAsia" w:eastAsia="黑体"/>
          <w:kern w:val="0"/>
          <w:sz w:val="24"/>
          <w:szCs w:val="20"/>
        </w:rPr>
        <w:t>计量（总价合同）</w:t>
      </w:r>
    </w:p>
    <w:p>
      <w:pPr>
        <w:spacing w:line="400" w:lineRule="atLeast"/>
        <w:ind w:firstLine="480"/>
        <w:rPr>
          <w:sz w:val="24"/>
        </w:rPr>
      </w:pPr>
      <w:r>
        <w:rPr>
          <w:rFonts w:hint="eastAsia"/>
          <w:sz w:val="24"/>
        </w:rPr>
        <w:t>1</w:t>
      </w:r>
      <w:r>
        <w:rPr>
          <w:sz w:val="24"/>
        </w:rPr>
        <w:t>7.1.4</w:t>
      </w:r>
      <w:r>
        <w:rPr>
          <w:rFonts w:hint="eastAsia"/>
          <w:sz w:val="24"/>
        </w:rPr>
        <w:t>单价子目的计量修改为：_</w:t>
      </w:r>
      <w:r>
        <w:rPr>
          <w:sz w:val="24"/>
        </w:rPr>
        <w:t>__</w:t>
      </w:r>
      <w:r>
        <w:rPr>
          <w:sz w:val="24"/>
          <w:u w:val="single"/>
        </w:rPr>
        <w:t>____</w:t>
      </w:r>
      <w:r>
        <w:rPr>
          <w:rFonts w:hint="eastAsia"/>
          <w:sz w:val="24"/>
          <w:u w:val="single"/>
        </w:rPr>
        <w:t>/</w:t>
      </w:r>
      <w:r>
        <w:rPr>
          <w:sz w:val="24"/>
          <w:u w:val="single"/>
        </w:rPr>
        <w:t>__</w:t>
      </w:r>
      <w:r>
        <w:rPr>
          <w:sz w:val="24"/>
        </w:rPr>
        <w:t>_____________</w:t>
      </w:r>
      <w:r>
        <w:rPr>
          <w:rFonts w:hint="eastAsia"/>
          <w:sz w:val="24"/>
        </w:rPr>
        <w:t>。</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17.3 工程进度付款</w:t>
      </w:r>
      <w:r>
        <w:rPr>
          <w:rFonts w:hint="eastAsia" w:eastAsia="黑体"/>
          <w:kern w:val="0"/>
          <w:sz w:val="24"/>
          <w:szCs w:val="20"/>
        </w:rPr>
        <w:t>（总价合同）</w:t>
      </w:r>
      <w:r>
        <w:rPr>
          <w:rFonts w:eastAsia="黑体"/>
          <w:kern w:val="0"/>
          <w:sz w:val="24"/>
          <w:szCs w:val="20"/>
        </w:rPr>
        <w:t xml:space="preserve"> </w:t>
      </w:r>
    </w:p>
    <w:p>
      <w:pPr>
        <w:spacing w:line="420" w:lineRule="atLeast"/>
        <w:ind w:firstLine="470" w:firstLineChars="196"/>
        <w:rPr>
          <w:sz w:val="24"/>
        </w:rPr>
      </w:pPr>
      <w:r>
        <w:rPr>
          <w:rFonts w:hint="eastAsia"/>
          <w:sz w:val="24"/>
        </w:rPr>
        <w:t>1</w:t>
      </w:r>
      <w:r>
        <w:rPr>
          <w:sz w:val="24"/>
        </w:rPr>
        <w:t>7.3.1</w:t>
      </w:r>
      <w:r>
        <w:rPr>
          <w:rFonts w:hint="eastAsia"/>
          <w:sz w:val="24"/>
        </w:rPr>
        <w:t>修改为</w:t>
      </w:r>
    </w:p>
    <w:p>
      <w:pPr>
        <w:spacing w:line="420" w:lineRule="atLeast"/>
        <w:ind w:firstLine="470" w:firstLineChars="196"/>
        <w:rPr>
          <w:sz w:val="24"/>
        </w:rPr>
      </w:pPr>
      <w:r>
        <w:rPr>
          <w:rFonts w:hint="eastAsia"/>
          <w:sz w:val="24"/>
        </w:rPr>
        <w:t>1</w:t>
      </w:r>
      <w:r>
        <w:rPr>
          <w:sz w:val="24"/>
        </w:rPr>
        <w:t>7.3.1</w:t>
      </w:r>
      <w:r>
        <w:rPr>
          <w:rFonts w:hint="eastAsia"/>
          <w:sz w:val="24"/>
        </w:rPr>
        <w:t>付款周期及付款比例</w:t>
      </w:r>
    </w:p>
    <w:p>
      <w:pPr>
        <w:spacing w:line="420" w:lineRule="atLeast"/>
        <w:ind w:firstLine="470" w:firstLineChars="196"/>
        <w:rPr>
          <w:rFonts w:ascii="宋体" w:hAnsi="宋体"/>
          <w:sz w:val="24"/>
          <w:u w:val="single"/>
        </w:rPr>
      </w:pPr>
      <w:r>
        <w:rPr>
          <w:rFonts w:hint="eastAsia" w:ascii="宋体" w:hAnsi="宋体"/>
          <w:sz w:val="24"/>
          <w:u w:val="single"/>
        </w:rPr>
        <w:t>（1）预付款支付比例或金额：合同签订金额（扣除暂列金）的10%</w:t>
      </w:r>
    </w:p>
    <w:p>
      <w:pPr>
        <w:spacing w:line="420" w:lineRule="atLeast"/>
        <w:ind w:firstLine="470" w:firstLineChars="196"/>
        <w:rPr>
          <w:rFonts w:ascii="宋体" w:hAnsi="宋体"/>
          <w:sz w:val="24"/>
          <w:u w:val="single"/>
        </w:rPr>
      </w:pPr>
      <w:r>
        <w:rPr>
          <w:rFonts w:hint="eastAsia" w:ascii="宋体" w:hAnsi="宋体"/>
          <w:sz w:val="24"/>
          <w:u w:val="single"/>
        </w:rPr>
        <w:t>（2）预付款支付期限：</w:t>
      </w:r>
      <w:bookmarkStart w:id="493" w:name="OLE_LINK1"/>
      <w:r>
        <w:rPr>
          <w:rFonts w:hint="eastAsia" w:ascii="宋体" w:hAnsi="宋体"/>
          <w:sz w:val="24"/>
          <w:u w:val="single"/>
        </w:rPr>
        <w:t>在具备施工条件的前提下，发包人应在合同签订后一个月内或不迟于约定的开工日期前7天内预付工程款</w:t>
      </w:r>
      <w:bookmarkEnd w:id="493"/>
      <w:r>
        <w:rPr>
          <w:rFonts w:hint="eastAsia" w:ascii="宋体" w:hAnsi="宋体"/>
          <w:sz w:val="24"/>
          <w:u w:val="single"/>
        </w:rPr>
        <w:t>。</w:t>
      </w:r>
    </w:p>
    <w:p>
      <w:pPr>
        <w:spacing w:line="420" w:lineRule="atLeast"/>
        <w:ind w:firstLine="470" w:firstLineChars="196"/>
        <w:rPr>
          <w:rFonts w:ascii="宋体" w:hAnsi="宋体"/>
          <w:sz w:val="24"/>
          <w:u w:val="single"/>
        </w:rPr>
      </w:pPr>
      <w:r>
        <w:rPr>
          <w:rFonts w:hint="eastAsia" w:ascii="宋体" w:hAnsi="宋体"/>
          <w:sz w:val="24"/>
          <w:u w:val="single"/>
        </w:rPr>
        <w:t>（3）预付款扣回的方式：预付款从支付第1次进度款时开始扣回，</w:t>
      </w:r>
      <w:r>
        <w:rPr>
          <w:rFonts w:hint="eastAsia" w:ascii="宋体" w:hAnsi="宋体"/>
          <w:sz w:val="24"/>
          <w:highlight w:val="none"/>
          <w:u w:val="single"/>
        </w:rPr>
        <w:t>分4次等额扣回</w:t>
      </w:r>
      <w:r>
        <w:rPr>
          <w:rFonts w:hint="eastAsia" w:ascii="宋体" w:hAnsi="宋体"/>
          <w:sz w:val="24"/>
          <w:u w:val="single"/>
        </w:rPr>
        <w:t>。</w:t>
      </w:r>
    </w:p>
    <w:p>
      <w:pPr>
        <w:spacing w:line="420" w:lineRule="atLeast"/>
        <w:ind w:firstLine="470" w:firstLineChars="196"/>
        <w:rPr>
          <w:rFonts w:ascii="宋体" w:hAnsi="宋体"/>
          <w:sz w:val="24"/>
          <w:u w:val="single"/>
        </w:rPr>
      </w:pPr>
      <w:r>
        <w:rPr>
          <w:rFonts w:hint="eastAsia" w:ascii="宋体" w:hAnsi="宋体"/>
          <w:sz w:val="24"/>
          <w:u w:val="single"/>
        </w:rPr>
        <w:t>（4）承包人提交预付款担保的期限：预付款担保有效期自预付款支付给承包人起生效，至发包人签发的进度付款证书说明预付款已完全扣清止。</w:t>
      </w:r>
    </w:p>
    <w:p>
      <w:pPr>
        <w:spacing w:line="420" w:lineRule="atLeast"/>
        <w:ind w:firstLine="470" w:firstLineChars="196"/>
        <w:rPr>
          <w:rFonts w:ascii="宋体" w:hAnsi="宋体"/>
          <w:sz w:val="24"/>
          <w:u w:val="single"/>
        </w:rPr>
      </w:pPr>
      <w:r>
        <w:rPr>
          <w:rFonts w:hint="eastAsia" w:ascii="宋体" w:hAnsi="宋体"/>
          <w:sz w:val="24"/>
          <w:u w:val="single"/>
        </w:rPr>
        <w:t>（5）预付款担保的形式为：承包人应提交银行、保险公司、担保公司等金融机构出具的预付款保函或</w:t>
      </w:r>
      <w:r>
        <w:rPr>
          <w:rFonts w:hint="eastAsia" w:ascii="宋体" w:hAnsi="宋体"/>
          <w:sz w:val="24"/>
          <w:u w:val="single"/>
          <w:lang w:val="en-US" w:eastAsia="zh-CN"/>
        </w:rPr>
        <w:t>电子保函或</w:t>
      </w:r>
      <w:r>
        <w:rPr>
          <w:rFonts w:hint="eastAsia" w:ascii="宋体" w:hAnsi="宋体"/>
          <w:sz w:val="24"/>
          <w:u w:val="single"/>
        </w:rPr>
        <w:t>其他担保措施;如承包人在签订合同时书面明确表示无需预付款的,可不提供预付款保函或其他担保措施，发包人将按照合同约定根据实际工程量按月支付工程款项。</w:t>
      </w:r>
    </w:p>
    <w:p>
      <w:pPr>
        <w:spacing w:line="420" w:lineRule="atLeast"/>
        <w:ind w:firstLine="470" w:firstLineChars="196"/>
        <w:rPr>
          <w:rFonts w:ascii="宋体" w:hAnsi="宋体"/>
          <w:sz w:val="24"/>
          <w:highlight w:val="yellow"/>
          <w:u w:val="single"/>
        </w:rPr>
      </w:pPr>
      <w:r>
        <w:rPr>
          <w:rFonts w:hint="eastAsia" w:ascii="宋体" w:hAnsi="宋体"/>
          <w:sz w:val="24"/>
          <w:u w:val="single"/>
        </w:rPr>
        <w:t>（6）关于付款周期的约定：</w:t>
      </w:r>
      <w:r>
        <w:rPr>
          <w:rFonts w:hint="eastAsia" w:ascii="宋体" w:hAnsi="宋体"/>
          <w:sz w:val="24"/>
          <w:highlight w:val="none"/>
          <w:u w:val="single"/>
        </w:rPr>
        <w:t>每月按进度支付合格工程款的80%，工程交工验收合格经审核后支付至合格工程款的97%，余款3%在缺陷责任期满后一次付清。</w:t>
      </w:r>
    </w:p>
    <w:p>
      <w:pPr>
        <w:spacing w:line="420" w:lineRule="atLeast"/>
        <w:ind w:firstLine="470" w:firstLineChars="196"/>
        <w:rPr>
          <w:rFonts w:ascii="宋体" w:hAnsi="宋体"/>
          <w:sz w:val="24"/>
          <w:highlight w:val="none"/>
          <w:u w:val="single"/>
        </w:rPr>
      </w:pPr>
      <w:r>
        <w:rPr>
          <w:rFonts w:hint="eastAsia" w:ascii="宋体" w:hAnsi="宋体"/>
          <w:sz w:val="24"/>
          <w:highlight w:val="none"/>
          <w:u w:val="single"/>
        </w:rPr>
        <w:t>备注：如承包人采用“由银行业金融机构、工程担保公司、保险机构出具的电子保函</w:t>
      </w:r>
      <w:r>
        <w:rPr>
          <w:rFonts w:hint="eastAsia" w:ascii="宋体" w:hAnsi="宋体"/>
          <w:sz w:val="24"/>
          <w:highlight w:val="none"/>
          <w:u w:val="single"/>
          <w:lang w:eastAsia="zh-CN"/>
        </w:rPr>
        <w:t>、</w:t>
      </w:r>
      <w:r>
        <w:rPr>
          <w:rFonts w:hint="eastAsia" w:ascii="宋体" w:hAnsi="宋体"/>
          <w:sz w:val="24"/>
          <w:highlight w:val="none"/>
          <w:u w:val="single"/>
        </w:rPr>
        <w:t>纸质保函等担保方式”提交等额工程质量保证金，则在工程竣工结算完成后招标人应付至最终结算价款的100%。如以现金缴纳（含工程款扣留的），同时退还保证金本金和银行同期存款利息。</w:t>
      </w:r>
    </w:p>
    <w:p>
      <w:pPr>
        <w:spacing w:line="420" w:lineRule="atLeast"/>
        <w:ind w:firstLine="470" w:firstLineChars="196"/>
        <w:rPr>
          <w:sz w:val="24"/>
        </w:rPr>
      </w:pPr>
      <w:r>
        <w:rPr>
          <w:rFonts w:hint="eastAsia"/>
          <w:sz w:val="24"/>
        </w:rPr>
        <w:t>1</w:t>
      </w:r>
      <w:r>
        <w:rPr>
          <w:sz w:val="24"/>
        </w:rPr>
        <w:t>7.3.2</w:t>
      </w:r>
      <w:r>
        <w:rPr>
          <w:rFonts w:hint="eastAsia"/>
          <w:sz w:val="24"/>
        </w:rPr>
        <w:t>（1）修改为：/</w:t>
      </w:r>
    </w:p>
    <w:p>
      <w:pPr>
        <w:spacing w:line="420" w:lineRule="atLeast"/>
        <w:ind w:firstLine="470" w:firstLineChars="196"/>
        <w:rPr>
          <w:sz w:val="24"/>
        </w:rPr>
      </w:pPr>
      <w:r>
        <w:rPr>
          <w:rFonts w:hint="eastAsia"/>
          <w:sz w:val="24"/>
        </w:rPr>
        <w:t>（1）当期应支付金额总额，以及截至当期期末累计应支付金额总额、已支付的进度付款金额总额；</w:t>
      </w:r>
    </w:p>
    <w:p>
      <w:pPr>
        <w:spacing w:line="420" w:lineRule="atLeast"/>
        <w:ind w:firstLine="470" w:firstLineChars="196"/>
        <w:rPr>
          <w:sz w:val="24"/>
          <w:u w:val="single"/>
        </w:rPr>
      </w:pPr>
      <w:r>
        <w:rPr>
          <w:rFonts w:hint="eastAsia"/>
          <w:sz w:val="24"/>
        </w:rPr>
        <w:t>17.3.5 农民工工资保证金的缴存时间：</w:t>
      </w:r>
      <w:r>
        <w:rPr>
          <w:sz w:val="24"/>
          <w:u w:val="single"/>
        </w:rPr>
        <w:t xml:space="preserve">                       </w:t>
      </w:r>
    </w:p>
    <w:p>
      <w:pPr>
        <w:spacing w:line="420" w:lineRule="atLeast"/>
        <w:ind w:firstLine="470" w:firstLineChars="196"/>
        <w:rPr>
          <w:sz w:val="24"/>
        </w:rPr>
      </w:pPr>
      <w:r>
        <w:rPr>
          <w:rFonts w:hint="eastAsia"/>
          <w:sz w:val="24"/>
        </w:rPr>
        <w:t>农民工工资保证金的缴存金额：</w:t>
      </w:r>
      <w:r>
        <w:rPr>
          <w:sz w:val="24"/>
          <w:u w:val="single"/>
        </w:rPr>
        <w:t xml:space="preserve">                       </w:t>
      </w:r>
    </w:p>
    <w:p>
      <w:pPr>
        <w:spacing w:line="420" w:lineRule="atLeast"/>
        <w:ind w:firstLine="470" w:firstLineChars="196"/>
        <w:rPr>
          <w:sz w:val="24"/>
          <w:u w:val="single"/>
        </w:rPr>
      </w:pPr>
      <w:r>
        <w:rPr>
          <w:rFonts w:hint="eastAsia"/>
          <w:sz w:val="24"/>
        </w:rPr>
        <w:t>农民工工资保证金的扣留条件：</w:t>
      </w:r>
      <w:r>
        <w:rPr>
          <w:sz w:val="24"/>
          <w:u w:val="single"/>
        </w:rPr>
        <w:t xml:space="preserve">                       </w:t>
      </w:r>
    </w:p>
    <w:p>
      <w:pPr>
        <w:widowControl/>
        <w:spacing w:line="420" w:lineRule="atLeast"/>
        <w:ind w:firstLine="480"/>
        <w:rPr>
          <w:sz w:val="24"/>
          <w:u w:val="single"/>
        </w:rPr>
      </w:pPr>
      <w:r>
        <w:rPr>
          <w:rFonts w:hint="eastAsia"/>
          <w:sz w:val="24"/>
        </w:rPr>
        <w:t>农民工工资保证金的返还时间：</w:t>
      </w:r>
      <w:r>
        <w:rPr>
          <w:sz w:val="24"/>
          <w:u w:val="single"/>
        </w:rPr>
        <w:t xml:space="preserve">                       </w:t>
      </w:r>
    </w:p>
    <w:p>
      <w:pPr>
        <w:widowControl/>
        <w:spacing w:line="420" w:lineRule="atLeast"/>
        <w:ind w:firstLine="480"/>
        <w:rPr>
          <w:sz w:val="24"/>
        </w:rPr>
      </w:pPr>
      <w:r>
        <w:rPr>
          <w:rFonts w:hint="eastAsia"/>
          <w:sz w:val="24"/>
        </w:rPr>
        <w:t>增加</w:t>
      </w:r>
      <w:r>
        <w:rPr>
          <w:sz w:val="24"/>
        </w:rPr>
        <w:t>17.5.3</w:t>
      </w:r>
      <w:r>
        <w:rPr>
          <w:rFonts w:hint="eastAsia"/>
          <w:sz w:val="24"/>
        </w:rPr>
        <w:t>项：</w:t>
      </w:r>
    </w:p>
    <w:p>
      <w:pPr>
        <w:widowControl/>
        <w:spacing w:line="420" w:lineRule="atLeast"/>
        <w:ind w:firstLine="480"/>
        <w:rPr>
          <w:sz w:val="24"/>
          <w:u w:val="single"/>
        </w:rPr>
      </w:pPr>
      <w:r>
        <w:rPr>
          <w:rFonts w:hint="eastAsia"/>
          <w:sz w:val="24"/>
          <w:u w:val="single"/>
        </w:rPr>
        <w:t>1</w:t>
      </w:r>
      <w:r>
        <w:rPr>
          <w:sz w:val="24"/>
          <w:u w:val="single"/>
        </w:rPr>
        <w:t>7.5.3</w:t>
      </w:r>
      <w:r>
        <w:rPr>
          <w:rFonts w:hint="eastAsia"/>
          <w:sz w:val="24"/>
          <w:u w:val="single"/>
        </w:rPr>
        <w:t>根据合政〔2018〕16号文要求，工程结算</w:t>
      </w:r>
      <w:r>
        <w:rPr>
          <w:rFonts w:hint="eastAsia"/>
          <w:sz w:val="24"/>
          <w:u w:val="single"/>
          <w:lang w:val="en-US" w:eastAsia="zh-CN"/>
        </w:rPr>
        <w:t>审核</w:t>
      </w:r>
      <w:r>
        <w:rPr>
          <w:rFonts w:hint="eastAsia"/>
          <w:sz w:val="24"/>
          <w:u w:val="single"/>
        </w:rPr>
        <w:t>核减额超过报审金额10%的，其超过10%以上部分的</w:t>
      </w:r>
      <w:r>
        <w:rPr>
          <w:rFonts w:hint="eastAsia"/>
          <w:sz w:val="24"/>
          <w:u w:val="single"/>
          <w:lang w:val="en-US" w:eastAsia="zh-CN"/>
        </w:rPr>
        <w:t>审核</w:t>
      </w:r>
      <w:r>
        <w:rPr>
          <w:rFonts w:hint="eastAsia"/>
          <w:sz w:val="24"/>
          <w:u w:val="single"/>
        </w:rPr>
        <w:t>咨询费用由施工单位（合同乙方）承担，建设单位在支付工程结算款时予以代扣，并支付给委托的工程造价咨询单位。</w:t>
      </w:r>
    </w:p>
    <w:p>
      <w:pPr>
        <w:keepNext/>
        <w:adjustRightInd w:val="0"/>
        <w:spacing w:before="200" w:after="200" w:line="400" w:lineRule="exact"/>
        <w:ind w:firstLine="0" w:firstLineChars="0"/>
        <w:jc w:val="left"/>
        <w:textAlignment w:val="baseline"/>
        <w:outlineLvl w:val="3"/>
        <w:rPr>
          <w:rFonts w:eastAsia="黑体"/>
          <w:kern w:val="0"/>
          <w:sz w:val="24"/>
          <w:szCs w:val="20"/>
        </w:rPr>
      </w:pPr>
      <w:r>
        <w:rPr>
          <w:rFonts w:eastAsia="黑体"/>
          <w:kern w:val="0"/>
          <w:sz w:val="24"/>
          <w:szCs w:val="20"/>
        </w:rPr>
        <w:t>20.2人员工伤事故的保险</w:t>
      </w:r>
    </w:p>
    <w:p>
      <w:pPr>
        <w:spacing w:line="400" w:lineRule="atLeast"/>
        <w:ind w:firstLine="480"/>
        <w:rPr>
          <w:sz w:val="24"/>
        </w:rPr>
      </w:pPr>
      <w:r>
        <w:rPr>
          <w:sz w:val="24"/>
        </w:rPr>
        <w:t>本款约定为：</w:t>
      </w:r>
    </w:p>
    <w:p>
      <w:pPr>
        <w:spacing w:line="400" w:lineRule="atLeast"/>
        <w:ind w:firstLine="480"/>
        <w:rPr>
          <w:sz w:val="24"/>
        </w:rPr>
      </w:pPr>
      <w:r>
        <w:rPr>
          <w:sz w:val="24"/>
        </w:rPr>
        <w:t>办理本款保险的一切费用均由承包人承担，并包括在工程量清单的单价及总额价中，发包人不单独支付。</w:t>
      </w:r>
    </w:p>
    <w:p>
      <w:pPr>
        <w:keepNext/>
        <w:adjustRightInd w:val="0"/>
        <w:spacing w:before="200" w:after="200" w:line="400" w:lineRule="exact"/>
        <w:ind w:firstLine="0" w:firstLineChars="0"/>
        <w:jc w:val="left"/>
        <w:textAlignment w:val="baseline"/>
        <w:outlineLvl w:val="3"/>
        <w:rPr>
          <w:rFonts w:eastAsia="黑体"/>
          <w:kern w:val="0"/>
          <w:sz w:val="24"/>
          <w:szCs w:val="20"/>
        </w:rPr>
      </w:pPr>
      <w:bookmarkStart w:id="494" w:name="_Toc517126972"/>
      <w:bookmarkStart w:id="495" w:name="_Toc517126707"/>
      <w:bookmarkStart w:id="496" w:name="_Toc501257454"/>
      <w:r>
        <w:rPr>
          <w:rFonts w:eastAsia="黑体"/>
          <w:kern w:val="0"/>
          <w:sz w:val="24"/>
          <w:szCs w:val="20"/>
        </w:rPr>
        <w:t>21.1 不可抗力的确认</w:t>
      </w:r>
      <w:bookmarkEnd w:id="494"/>
      <w:bookmarkEnd w:id="495"/>
      <w:bookmarkEnd w:id="496"/>
    </w:p>
    <w:p>
      <w:pPr>
        <w:spacing w:line="400" w:lineRule="atLeast"/>
        <w:ind w:firstLine="480"/>
        <w:rPr>
          <w:sz w:val="24"/>
          <w:u w:val="single"/>
        </w:rPr>
      </w:pPr>
      <w:r>
        <w:rPr>
          <w:sz w:val="24"/>
        </w:rPr>
        <w:t>21.1.1 （6）不可抗力的其他情形：</w:t>
      </w:r>
      <w:r>
        <w:rPr>
          <w:sz w:val="24"/>
          <w:u w:val="single"/>
        </w:rPr>
        <w:t xml:space="preserve">          </w:t>
      </w:r>
      <w:r>
        <w:rPr>
          <w:rFonts w:hint="eastAsia"/>
          <w:sz w:val="24"/>
          <w:u w:val="single"/>
        </w:rPr>
        <w:t>/</w:t>
      </w:r>
      <w:r>
        <w:rPr>
          <w:sz w:val="24"/>
          <w:u w:val="single"/>
        </w:rPr>
        <w:t xml:space="preserve">                  </w:t>
      </w:r>
    </w:p>
    <w:p>
      <w:pPr>
        <w:keepNext/>
        <w:adjustRightInd w:val="0"/>
        <w:spacing w:before="200" w:after="200" w:line="400" w:lineRule="exact"/>
        <w:ind w:firstLine="0" w:firstLineChars="0"/>
        <w:jc w:val="left"/>
        <w:textAlignment w:val="baseline"/>
        <w:outlineLvl w:val="3"/>
        <w:rPr>
          <w:rFonts w:eastAsia="黑体"/>
          <w:kern w:val="0"/>
          <w:sz w:val="24"/>
          <w:szCs w:val="20"/>
        </w:rPr>
      </w:pPr>
      <w:bookmarkStart w:id="497" w:name="_Toc501257455"/>
      <w:bookmarkStart w:id="498" w:name="_Toc517126708"/>
      <w:bookmarkStart w:id="499" w:name="_Toc234833229"/>
      <w:bookmarkStart w:id="500" w:name="_Toc517126973"/>
      <w:r>
        <w:rPr>
          <w:rFonts w:eastAsia="黑体"/>
          <w:kern w:val="0"/>
          <w:sz w:val="24"/>
          <w:szCs w:val="20"/>
        </w:rPr>
        <w:t>22.1 承包人违约</w:t>
      </w:r>
      <w:bookmarkEnd w:id="497"/>
      <w:bookmarkEnd w:id="498"/>
      <w:bookmarkEnd w:id="499"/>
      <w:bookmarkEnd w:id="500"/>
    </w:p>
    <w:p>
      <w:pPr>
        <w:spacing w:line="400" w:lineRule="atLeast"/>
        <w:ind w:firstLine="480"/>
        <w:rPr>
          <w:sz w:val="24"/>
          <w:u w:val="single"/>
        </w:rPr>
      </w:pPr>
      <w:r>
        <w:rPr>
          <w:sz w:val="24"/>
        </w:rPr>
        <w:t>22.1.2 当承包人发生第22.1.1项约定的违约情况时，发包人有权向承包人课以违约金，具体约定如下：</w:t>
      </w:r>
      <w:r>
        <w:rPr>
          <w:sz w:val="24"/>
          <w:u w:val="single"/>
        </w:rPr>
        <w:t xml:space="preserve">            </w:t>
      </w:r>
      <w:r>
        <w:rPr>
          <w:rFonts w:hint="eastAsia"/>
          <w:sz w:val="24"/>
          <w:u w:val="single"/>
        </w:rPr>
        <w:t>/</w:t>
      </w:r>
      <w:r>
        <w:rPr>
          <w:sz w:val="24"/>
          <w:u w:val="single"/>
        </w:rPr>
        <w:t xml:space="preserve">                </w:t>
      </w:r>
    </w:p>
    <w:p>
      <w:pPr>
        <w:keepNext/>
        <w:adjustRightInd w:val="0"/>
        <w:spacing w:before="200" w:after="200" w:line="400" w:lineRule="exact"/>
        <w:ind w:firstLine="0" w:firstLineChars="0"/>
        <w:jc w:val="left"/>
        <w:textAlignment w:val="baseline"/>
        <w:outlineLvl w:val="3"/>
        <w:rPr>
          <w:rFonts w:eastAsia="黑体"/>
          <w:kern w:val="0"/>
          <w:sz w:val="24"/>
          <w:szCs w:val="20"/>
        </w:rPr>
      </w:pPr>
      <w:bookmarkStart w:id="501" w:name="_Toc517126709"/>
      <w:bookmarkStart w:id="502" w:name="_Toc517126974"/>
      <w:bookmarkStart w:id="503" w:name="_Toc501257456"/>
      <w:r>
        <w:rPr>
          <w:rFonts w:eastAsia="黑体"/>
          <w:kern w:val="0"/>
          <w:sz w:val="24"/>
          <w:szCs w:val="20"/>
        </w:rPr>
        <w:t>22.2 发包人违约</w:t>
      </w:r>
      <w:bookmarkEnd w:id="501"/>
      <w:bookmarkEnd w:id="502"/>
      <w:bookmarkEnd w:id="503"/>
    </w:p>
    <w:p>
      <w:pPr>
        <w:spacing w:line="400" w:lineRule="atLeast"/>
        <w:ind w:firstLine="480"/>
        <w:rPr>
          <w:sz w:val="24"/>
        </w:rPr>
      </w:pPr>
      <w:r>
        <w:rPr>
          <w:sz w:val="24"/>
        </w:rPr>
        <w:t>22.2.</w:t>
      </w:r>
      <w:r>
        <w:rPr>
          <w:rFonts w:hint="eastAsia"/>
          <w:sz w:val="24"/>
        </w:rPr>
        <w:t>2发包</w:t>
      </w:r>
      <w:r>
        <w:rPr>
          <w:sz w:val="24"/>
        </w:rPr>
        <w:t>人</w:t>
      </w:r>
      <w:r>
        <w:rPr>
          <w:rFonts w:hint="eastAsia"/>
          <w:sz w:val="24"/>
        </w:rPr>
        <w:t>无正当理由不按时返还履约保证金、质量保证金或农民工工资保证金的，发包人应向承包人支付的违约金如下：</w:t>
      </w:r>
      <w:r>
        <w:rPr>
          <w:sz w:val="24"/>
          <w:u w:val="single"/>
        </w:rPr>
        <w:t xml:space="preserve">              </w:t>
      </w:r>
      <w:r>
        <w:rPr>
          <w:rFonts w:hint="eastAsia"/>
          <w:sz w:val="24"/>
          <w:u w:val="single"/>
        </w:rPr>
        <w:t>/</w:t>
      </w:r>
      <w:r>
        <w:rPr>
          <w:sz w:val="24"/>
          <w:u w:val="single"/>
        </w:rPr>
        <w:t xml:space="preserve">                 </w:t>
      </w:r>
    </w:p>
    <w:p>
      <w:pPr>
        <w:spacing w:line="380" w:lineRule="atLeast"/>
        <w:ind w:firstLine="0" w:firstLineChars="0"/>
        <w:rPr>
          <w:rFonts w:eastAsia="黑体"/>
          <w:sz w:val="20"/>
          <w:szCs w:val="20"/>
        </w:rPr>
      </w:pPr>
    </w:p>
    <w:p>
      <w:pPr>
        <w:widowControl/>
        <w:ind w:firstLine="0" w:firstLineChars="0"/>
        <w:jc w:val="left"/>
        <w:rPr>
          <w:rFonts w:eastAsia="黑体"/>
          <w:sz w:val="20"/>
          <w:szCs w:val="20"/>
        </w:rPr>
      </w:pPr>
      <w:r>
        <w:rPr>
          <w:rFonts w:eastAsia="黑体"/>
          <w:sz w:val="20"/>
          <w:szCs w:val="20"/>
        </w:rPr>
        <w:br w:type="page"/>
      </w:r>
    </w:p>
    <w:p>
      <w:pPr>
        <w:spacing w:line="440" w:lineRule="exact"/>
        <w:ind w:firstLine="0" w:firstLineChars="0"/>
        <w:rPr>
          <w:rFonts w:eastAsia="黑体"/>
          <w:sz w:val="20"/>
          <w:szCs w:val="20"/>
        </w:rPr>
      </w:pPr>
    </w:p>
    <w:p>
      <w:pPr>
        <w:spacing w:line="440" w:lineRule="exact"/>
        <w:ind w:firstLine="0" w:firstLineChars="0"/>
        <w:jc w:val="center"/>
        <w:outlineLvl w:val="1"/>
        <w:rPr>
          <w:rFonts w:eastAsia="黑体"/>
          <w:sz w:val="32"/>
          <w:szCs w:val="32"/>
        </w:rPr>
      </w:pPr>
      <w:bookmarkStart w:id="504" w:name="_Toc14201395"/>
      <w:bookmarkStart w:id="505" w:name="_Toc26657064"/>
      <w:bookmarkStart w:id="506" w:name="_Toc133311769"/>
      <w:bookmarkStart w:id="507" w:name="_Toc98148185"/>
      <w:bookmarkStart w:id="508" w:name="_Toc9067789"/>
      <w:bookmarkStart w:id="509" w:name="_Toc138689431"/>
      <w:bookmarkStart w:id="510" w:name="_Toc512280929"/>
      <w:r>
        <w:rPr>
          <w:rFonts w:eastAsia="黑体"/>
          <w:sz w:val="32"/>
          <w:szCs w:val="32"/>
        </w:rPr>
        <w:t>第三节  合同附件格式</w:t>
      </w:r>
      <w:bookmarkEnd w:id="504"/>
      <w:bookmarkEnd w:id="505"/>
      <w:bookmarkEnd w:id="506"/>
      <w:bookmarkEnd w:id="507"/>
      <w:bookmarkEnd w:id="508"/>
      <w:bookmarkEnd w:id="509"/>
      <w:bookmarkEnd w:id="510"/>
    </w:p>
    <w:p>
      <w:pPr>
        <w:spacing w:line="440" w:lineRule="exact"/>
        <w:ind w:firstLine="0" w:firstLineChars="0"/>
        <w:rPr>
          <w:rFonts w:eastAsia="黑体"/>
          <w:sz w:val="20"/>
          <w:szCs w:val="20"/>
        </w:rPr>
      </w:pPr>
      <w:r>
        <w:rPr>
          <w:rFonts w:eastAsia="黑体"/>
          <w:sz w:val="20"/>
          <w:szCs w:val="20"/>
        </w:rPr>
        <w:t xml:space="preserve"> </w:t>
      </w:r>
    </w:p>
    <w:p>
      <w:pPr>
        <w:keepNext/>
        <w:keepLines/>
        <w:spacing w:line="380" w:lineRule="atLeast"/>
        <w:ind w:firstLine="0" w:firstLineChars="0"/>
        <w:outlineLvl w:val="0"/>
        <w:rPr>
          <w:rFonts w:eastAsia="黑体"/>
          <w:bCs/>
          <w:kern w:val="44"/>
          <w:sz w:val="24"/>
        </w:rPr>
      </w:pPr>
      <w:r>
        <w:rPr>
          <w:rFonts w:eastAsia="黑体"/>
          <w:b/>
          <w:bCs/>
          <w:kern w:val="44"/>
          <w:sz w:val="20"/>
          <w:szCs w:val="20"/>
        </w:rPr>
        <w:br w:type="page"/>
      </w:r>
      <w:bookmarkStart w:id="511" w:name="_Toc234833231"/>
      <w:bookmarkStart w:id="512" w:name="_Toc501257458"/>
    </w:p>
    <w:p>
      <w:pPr>
        <w:keepNext/>
        <w:keepLines/>
        <w:spacing w:line="380" w:lineRule="atLeast"/>
        <w:ind w:firstLine="0" w:firstLineChars="0"/>
        <w:outlineLvl w:val="0"/>
        <w:rPr>
          <w:rFonts w:eastAsia="黑体"/>
          <w:bCs/>
          <w:kern w:val="44"/>
          <w:sz w:val="24"/>
        </w:rPr>
      </w:pPr>
      <w:bookmarkStart w:id="513" w:name="_Toc138689432"/>
      <w:bookmarkStart w:id="514" w:name="_Toc131087908"/>
      <w:bookmarkStart w:id="515" w:name="_Toc14201396"/>
      <w:bookmarkStart w:id="516" w:name="_Toc98148186"/>
      <w:bookmarkStart w:id="517" w:name="_Toc26657065"/>
      <w:r>
        <w:rPr>
          <w:rFonts w:eastAsia="黑体"/>
          <w:bCs/>
          <w:kern w:val="44"/>
          <w:sz w:val="24"/>
        </w:rPr>
        <w:t>附件一</w:t>
      </w:r>
      <w:r>
        <w:rPr>
          <w:rFonts w:hint="eastAsia" w:eastAsia="黑体"/>
          <w:bCs/>
          <w:kern w:val="44"/>
          <w:sz w:val="24"/>
        </w:rPr>
        <w:t xml:space="preserve"> </w:t>
      </w:r>
      <w:r>
        <w:rPr>
          <w:rFonts w:eastAsia="黑体"/>
          <w:bCs/>
          <w:kern w:val="44"/>
          <w:sz w:val="24"/>
        </w:rPr>
        <w:t>合同协议书</w:t>
      </w:r>
      <w:bookmarkEnd w:id="511"/>
      <w:bookmarkEnd w:id="512"/>
      <w:bookmarkEnd w:id="513"/>
      <w:bookmarkEnd w:id="514"/>
      <w:bookmarkEnd w:id="515"/>
      <w:bookmarkEnd w:id="516"/>
      <w:bookmarkEnd w:id="517"/>
    </w:p>
    <w:p>
      <w:pPr>
        <w:spacing w:line="440" w:lineRule="exact"/>
        <w:ind w:firstLine="0" w:firstLineChars="0"/>
        <w:jc w:val="center"/>
        <w:rPr>
          <w:rFonts w:eastAsia="黑体"/>
          <w:sz w:val="28"/>
          <w:szCs w:val="28"/>
        </w:rPr>
      </w:pPr>
      <w:r>
        <w:rPr>
          <w:rFonts w:eastAsia="黑体"/>
          <w:sz w:val="28"/>
          <w:szCs w:val="28"/>
        </w:rPr>
        <w:t>合 同 协 议 书</w:t>
      </w:r>
    </w:p>
    <w:p>
      <w:pPr>
        <w:spacing w:line="440" w:lineRule="exact"/>
        <w:ind w:firstLine="480"/>
        <w:rPr>
          <w:sz w:val="24"/>
          <w:u w:val="single"/>
        </w:rPr>
      </w:pPr>
    </w:p>
    <w:p>
      <w:pPr>
        <w:spacing w:line="440" w:lineRule="exact"/>
        <w:ind w:firstLine="424" w:firstLineChars="177"/>
        <w:rPr>
          <w:sz w:val="24"/>
        </w:rPr>
      </w:pPr>
      <w:r>
        <w:rPr>
          <w:sz w:val="24"/>
          <w:u w:val="single"/>
        </w:rPr>
        <w:t xml:space="preserve">          </w:t>
      </w:r>
      <w:r>
        <w:rPr>
          <w:sz w:val="24"/>
        </w:rPr>
        <w:t>（发包人名称，以下简称“发包人”）为实施</w:t>
      </w:r>
      <w:r>
        <w:rPr>
          <w:sz w:val="24"/>
          <w:u w:val="single"/>
        </w:rPr>
        <w:t xml:space="preserve">                  </w:t>
      </w:r>
      <w:r>
        <w:rPr>
          <w:sz w:val="24"/>
        </w:rPr>
        <w:t>（项目名称），已接受</w:t>
      </w:r>
      <w:r>
        <w:rPr>
          <w:sz w:val="24"/>
          <w:u w:val="single"/>
        </w:rPr>
        <w:t xml:space="preserve">        </w:t>
      </w:r>
      <w:r>
        <w:rPr>
          <w:sz w:val="24"/>
        </w:rPr>
        <w:t>（承包人名称，以下简称“承包人”）对该项目</w:t>
      </w:r>
      <w:r>
        <w:rPr>
          <w:sz w:val="24"/>
          <w:u w:val="single"/>
        </w:rPr>
        <w:t xml:space="preserve">        </w:t>
      </w:r>
      <w:r>
        <w:rPr>
          <w:sz w:val="24"/>
        </w:rPr>
        <w:t>标段施工的投标。发包人和承包人共同达成如下协议。</w:t>
      </w:r>
    </w:p>
    <w:p>
      <w:pPr>
        <w:spacing w:line="440" w:lineRule="exact"/>
        <w:ind w:firstLine="424" w:firstLineChars="177"/>
        <w:rPr>
          <w:sz w:val="24"/>
        </w:rPr>
      </w:pPr>
      <w:r>
        <w:rPr>
          <w:sz w:val="24"/>
        </w:rPr>
        <w:t>1. 第</w:t>
      </w:r>
      <w:r>
        <w:rPr>
          <w:sz w:val="24"/>
          <w:u w:val="single"/>
        </w:rPr>
        <w:t xml:space="preserve">   </w:t>
      </w:r>
      <w:r>
        <w:rPr>
          <w:sz w:val="24"/>
        </w:rPr>
        <w:t>标段由K</w:t>
      </w:r>
      <w:r>
        <w:rPr>
          <w:sz w:val="24"/>
          <w:u w:val="single"/>
        </w:rPr>
        <w:t xml:space="preserve">   </w:t>
      </w:r>
      <w:r>
        <w:rPr>
          <w:sz w:val="24"/>
        </w:rPr>
        <w:t>＋</w:t>
      </w:r>
      <w:r>
        <w:rPr>
          <w:sz w:val="24"/>
          <w:u w:val="single"/>
        </w:rPr>
        <w:t xml:space="preserve">   </w:t>
      </w:r>
      <w:r>
        <w:rPr>
          <w:sz w:val="24"/>
        </w:rPr>
        <w:t>至K</w:t>
      </w:r>
      <w:r>
        <w:rPr>
          <w:sz w:val="24"/>
          <w:u w:val="single"/>
        </w:rPr>
        <w:t xml:space="preserve">   </w:t>
      </w:r>
      <w:r>
        <w:rPr>
          <w:sz w:val="24"/>
        </w:rPr>
        <w:t>＋</w:t>
      </w:r>
      <w:r>
        <w:rPr>
          <w:sz w:val="24"/>
          <w:u w:val="single"/>
        </w:rPr>
        <w:t xml:space="preserve">   </w:t>
      </w:r>
      <w:r>
        <w:rPr>
          <w:sz w:val="24"/>
        </w:rPr>
        <w:t>，长约</w:t>
      </w:r>
      <w:r>
        <w:rPr>
          <w:sz w:val="24"/>
          <w:u w:val="single"/>
        </w:rPr>
        <w:t xml:space="preserve">   </w:t>
      </w:r>
      <w:r>
        <w:rPr>
          <w:sz w:val="24"/>
        </w:rPr>
        <w:t>km，公路等级为</w:t>
      </w:r>
      <w:r>
        <w:rPr>
          <w:sz w:val="24"/>
          <w:u w:val="single"/>
        </w:rPr>
        <w:t xml:space="preserve">    </w:t>
      </w:r>
      <w:r>
        <w:rPr>
          <w:sz w:val="24"/>
        </w:rPr>
        <w:t>，设计</w:t>
      </w:r>
      <w:r>
        <w:rPr>
          <w:rFonts w:hint="eastAsia"/>
          <w:sz w:val="24"/>
        </w:rPr>
        <w:t>速度</w:t>
      </w:r>
      <w:r>
        <w:rPr>
          <w:sz w:val="24"/>
        </w:rPr>
        <w:t>为</w:t>
      </w:r>
      <w:r>
        <w:rPr>
          <w:sz w:val="24"/>
          <w:u w:val="single"/>
        </w:rPr>
        <w:t xml:space="preserve">       </w:t>
      </w:r>
      <w:r>
        <w:rPr>
          <w:sz w:val="24"/>
        </w:rPr>
        <w:t>，</w:t>
      </w:r>
      <w:r>
        <w:rPr>
          <w:sz w:val="24"/>
          <w:u w:val="single"/>
        </w:rPr>
        <w:t xml:space="preserve">  </w:t>
      </w:r>
      <w:r>
        <w:rPr>
          <w:rFonts w:hint="eastAsia"/>
          <w:sz w:val="24"/>
          <w:u w:val="single"/>
        </w:rPr>
        <w:t xml:space="preserve">  </w:t>
      </w:r>
      <w:r>
        <w:rPr>
          <w:sz w:val="24"/>
          <w:u w:val="single"/>
        </w:rPr>
        <w:t xml:space="preserve"> </w:t>
      </w:r>
      <w:r>
        <w:rPr>
          <w:sz w:val="24"/>
        </w:rPr>
        <w:t>路面，有</w:t>
      </w:r>
      <w:r>
        <w:rPr>
          <w:sz w:val="24"/>
          <w:u w:val="single"/>
        </w:rPr>
        <w:t xml:space="preserve">   </w:t>
      </w:r>
      <w:r>
        <w:rPr>
          <w:sz w:val="24"/>
        </w:rPr>
        <w:t>立交</w:t>
      </w:r>
      <w:r>
        <w:rPr>
          <w:sz w:val="24"/>
          <w:u w:val="single"/>
        </w:rPr>
        <w:t xml:space="preserve">   </w:t>
      </w:r>
      <w:r>
        <w:rPr>
          <w:sz w:val="24"/>
        </w:rPr>
        <w:t>处；</w:t>
      </w:r>
      <w:r>
        <w:rPr>
          <w:rFonts w:hint="eastAsia"/>
          <w:sz w:val="24"/>
        </w:rPr>
        <w:t>特大桥</w:t>
      </w:r>
      <w:r>
        <w:rPr>
          <w:rFonts w:hint="eastAsia"/>
          <w:sz w:val="24"/>
          <w:u w:val="single"/>
        </w:rPr>
        <w:t xml:space="preserve">    </w:t>
      </w:r>
      <w:r>
        <w:rPr>
          <w:rFonts w:hint="eastAsia"/>
          <w:sz w:val="24"/>
        </w:rPr>
        <w:t>座，</w:t>
      </w:r>
      <w:r>
        <w:rPr>
          <w:sz w:val="24"/>
        </w:rPr>
        <w:t>计长</w:t>
      </w:r>
      <w:r>
        <w:rPr>
          <w:sz w:val="24"/>
          <w:u w:val="single"/>
        </w:rPr>
        <w:t xml:space="preserve">   </w:t>
      </w:r>
      <w:r>
        <w:rPr>
          <w:sz w:val="24"/>
        </w:rPr>
        <w:t>m；大中桥</w:t>
      </w:r>
      <w:r>
        <w:rPr>
          <w:sz w:val="24"/>
          <w:u w:val="single"/>
        </w:rPr>
        <w:t xml:space="preserve">   </w:t>
      </w:r>
      <w:r>
        <w:rPr>
          <w:sz w:val="24"/>
        </w:rPr>
        <w:t>座，计长</w:t>
      </w:r>
      <w:r>
        <w:rPr>
          <w:sz w:val="24"/>
          <w:u w:val="single"/>
        </w:rPr>
        <w:t xml:space="preserve">   </w:t>
      </w:r>
      <w:r>
        <w:rPr>
          <w:sz w:val="24"/>
        </w:rPr>
        <w:t>m；隧道</w:t>
      </w:r>
      <w:r>
        <w:rPr>
          <w:sz w:val="24"/>
          <w:u w:val="single"/>
        </w:rPr>
        <w:t xml:space="preserve">   </w:t>
      </w:r>
      <w:r>
        <w:rPr>
          <w:sz w:val="24"/>
        </w:rPr>
        <w:t>座，计长</w:t>
      </w:r>
      <w:r>
        <w:rPr>
          <w:sz w:val="24"/>
          <w:u w:val="single"/>
        </w:rPr>
        <w:t xml:space="preserve">   </w:t>
      </w:r>
      <w:r>
        <w:rPr>
          <w:sz w:val="24"/>
        </w:rPr>
        <w:t>m以及其他构造物工程等。</w:t>
      </w:r>
    </w:p>
    <w:p>
      <w:pPr>
        <w:spacing w:line="440" w:lineRule="exact"/>
        <w:ind w:right="34" w:rightChars="16" w:firstLine="424" w:firstLineChars="177"/>
        <w:rPr>
          <w:sz w:val="24"/>
        </w:rPr>
      </w:pPr>
      <w:r>
        <w:rPr>
          <w:sz w:val="24"/>
        </w:rPr>
        <w:t>2. 下列文件应视为构成合同文件的组成部分：</w:t>
      </w:r>
    </w:p>
    <w:p>
      <w:pPr>
        <w:spacing w:line="440" w:lineRule="exact"/>
        <w:ind w:right="34" w:rightChars="16" w:firstLine="424" w:firstLineChars="177"/>
        <w:rPr>
          <w:sz w:val="24"/>
        </w:rPr>
      </w:pPr>
      <w:r>
        <w:rPr>
          <w:sz w:val="24"/>
        </w:rPr>
        <w:t>（1）本协议书及各种合同附件（含评标期间和合同谈判过程中的澄清文件和补充资料）；</w:t>
      </w:r>
    </w:p>
    <w:p>
      <w:pPr>
        <w:spacing w:line="440" w:lineRule="exact"/>
        <w:ind w:right="34" w:rightChars="16" w:firstLine="424" w:firstLineChars="177"/>
        <w:rPr>
          <w:sz w:val="24"/>
        </w:rPr>
      </w:pPr>
      <w:r>
        <w:rPr>
          <w:sz w:val="24"/>
        </w:rPr>
        <w:t>（2）中标通知书；</w:t>
      </w:r>
    </w:p>
    <w:p>
      <w:pPr>
        <w:spacing w:line="440" w:lineRule="exact"/>
        <w:ind w:right="34" w:rightChars="16" w:firstLine="424" w:firstLineChars="177"/>
        <w:rPr>
          <w:sz w:val="24"/>
        </w:rPr>
      </w:pPr>
      <w:r>
        <w:rPr>
          <w:sz w:val="24"/>
        </w:rPr>
        <w:t>（3）投标函及投标函附录；</w:t>
      </w:r>
    </w:p>
    <w:p>
      <w:pPr>
        <w:spacing w:line="440" w:lineRule="exact"/>
        <w:ind w:right="34" w:rightChars="16" w:firstLine="424" w:firstLineChars="177"/>
        <w:rPr>
          <w:sz w:val="24"/>
        </w:rPr>
      </w:pPr>
      <w:r>
        <w:rPr>
          <w:sz w:val="24"/>
        </w:rPr>
        <w:t>（4）项目专用合同条款；</w:t>
      </w:r>
    </w:p>
    <w:p>
      <w:pPr>
        <w:spacing w:line="440" w:lineRule="exact"/>
        <w:ind w:right="34" w:rightChars="16" w:firstLine="424" w:firstLineChars="177"/>
        <w:rPr>
          <w:sz w:val="24"/>
        </w:rPr>
      </w:pPr>
      <w:r>
        <w:rPr>
          <w:sz w:val="24"/>
        </w:rPr>
        <w:t>（5）公路工程专用合同条款；</w:t>
      </w:r>
    </w:p>
    <w:p>
      <w:pPr>
        <w:spacing w:line="440" w:lineRule="exact"/>
        <w:ind w:right="34" w:rightChars="16" w:firstLine="424" w:firstLineChars="177"/>
        <w:rPr>
          <w:sz w:val="24"/>
        </w:rPr>
      </w:pPr>
      <w:r>
        <w:rPr>
          <w:sz w:val="24"/>
        </w:rPr>
        <w:t>（6）通用合同条款；</w:t>
      </w:r>
    </w:p>
    <w:p>
      <w:pPr>
        <w:spacing w:line="440" w:lineRule="exact"/>
        <w:ind w:right="34" w:rightChars="16" w:firstLine="424" w:firstLineChars="177"/>
        <w:rPr>
          <w:sz w:val="24"/>
        </w:rPr>
      </w:pPr>
      <w:r>
        <w:rPr>
          <w:sz w:val="24"/>
        </w:rPr>
        <w:t>（7）</w:t>
      </w:r>
      <w:r>
        <w:rPr>
          <w:rFonts w:hint="eastAsia"/>
          <w:sz w:val="24"/>
        </w:rPr>
        <w:t>工程量</w:t>
      </w:r>
      <w:r>
        <w:rPr>
          <w:sz w:val="24"/>
        </w:rPr>
        <w:t>清单计量规则；</w:t>
      </w:r>
    </w:p>
    <w:p>
      <w:pPr>
        <w:spacing w:line="440" w:lineRule="exact"/>
        <w:ind w:right="34" w:rightChars="16" w:firstLine="424" w:firstLineChars="177"/>
        <w:rPr>
          <w:sz w:val="24"/>
        </w:rPr>
      </w:pPr>
      <w:r>
        <w:rPr>
          <w:sz w:val="24"/>
        </w:rPr>
        <w:t>（8）技术规范；</w:t>
      </w:r>
    </w:p>
    <w:p>
      <w:pPr>
        <w:spacing w:line="440" w:lineRule="exact"/>
        <w:ind w:right="34" w:rightChars="16" w:firstLine="424" w:firstLineChars="177"/>
        <w:rPr>
          <w:sz w:val="24"/>
        </w:rPr>
      </w:pPr>
      <w:r>
        <w:rPr>
          <w:sz w:val="24"/>
        </w:rPr>
        <w:t>（9）图纸；</w:t>
      </w:r>
    </w:p>
    <w:p>
      <w:pPr>
        <w:spacing w:line="440" w:lineRule="exact"/>
        <w:ind w:right="34" w:rightChars="16" w:firstLine="424" w:firstLineChars="177"/>
        <w:rPr>
          <w:sz w:val="24"/>
        </w:rPr>
      </w:pPr>
      <w:r>
        <w:rPr>
          <w:sz w:val="24"/>
        </w:rPr>
        <w:t>（10）已标价工程量清单；</w:t>
      </w:r>
    </w:p>
    <w:p>
      <w:pPr>
        <w:spacing w:line="440" w:lineRule="exact"/>
        <w:ind w:right="34" w:rightChars="16" w:firstLine="424" w:firstLineChars="177"/>
        <w:rPr>
          <w:sz w:val="24"/>
        </w:rPr>
      </w:pPr>
      <w:r>
        <w:rPr>
          <w:sz w:val="24"/>
        </w:rPr>
        <w:t>（11）承包人有关人员、设备投入的承诺及投标文件中的施工组织设计；</w:t>
      </w:r>
    </w:p>
    <w:p>
      <w:pPr>
        <w:spacing w:line="440" w:lineRule="exact"/>
        <w:ind w:right="34" w:rightChars="16" w:firstLine="424" w:firstLineChars="177"/>
        <w:rPr>
          <w:sz w:val="24"/>
        </w:rPr>
      </w:pPr>
      <w:r>
        <w:rPr>
          <w:sz w:val="24"/>
        </w:rPr>
        <w:t>（12）其他合同文件。</w:t>
      </w:r>
    </w:p>
    <w:p>
      <w:pPr>
        <w:spacing w:line="440" w:lineRule="exact"/>
        <w:ind w:right="34" w:rightChars="16" w:firstLine="424" w:firstLineChars="177"/>
        <w:rPr>
          <w:sz w:val="24"/>
        </w:rPr>
      </w:pPr>
      <w:r>
        <w:rPr>
          <w:rFonts w:hint="eastAsia"/>
          <w:sz w:val="24"/>
        </w:rPr>
        <w:t>上述合同文件互相补充和解释。如果合同文件之间存在矛盾或不一致之处，以上述文件的排列顺序在先者为准。</w:t>
      </w:r>
    </w:p>
    <w:p>
      <w:pPr>
        <w:spacing w:line="440" w:lineRule="exact"/>
        <w:ind w:right="34" w:rightChars="16" w:firstLine="424" w:firstLineChars="177"/>
        <w:rPr>
          <w:sz w:val="24"/>
        </w:rPr>
      </w:pPr>
      <w:r>
        <w:rPr>
          <w:sz w:val="24"/>
        </w:rPr>
        <w:t>3.</w:t>
      </w:r>
      <w:r>
        <w:rPr>
          <w:rFonts w:hint="eastAsia"/>
          <w:sz w:val="24"/>
        </w:rPr>
        <w:t xml:space="preserve"> </w:t>
      </w:r>
      <w:r>
        <w:rPr>
          <w:sz w:val="24"/>
        </w:rPr>
        <w:t>签约合同价：人民币（大写）________元（¥________）。</w:t>
      </w:r>
    </w:p>
    <w:p>
      <w:pPr>
        <w:spacing w:line="440" w:lineRule="exact"/>
        <w:ind w:right="34" w:rightChars="16" w:firstLine="424" w:firstLineChars="177"/>
        <w:rPr>
          <w:sz w:val="24"/>
          <w:u w:val="single"/>
        </w:rPr>
      </w:pPr>
      <w:r>
        <w:rPr>
          <w:sz w:val="24"/>
        </w:rPr>
        <w:t>4. 承包人项目经理：</w:t>
      </w:r>
      <w:r>
        <w:rPr>
          <w:sz w:val="24"/>
          <w:u w:val="single"/>
        </w:rPr>
        <w:t xml:space="preserve">            </w:t>
      </w:r>
      <w:r>
        <w:rPr>
          <w:sz w:val="24"/>
        </w:rPr>
        <w:t>。承包人项目总工：</w:t>
      </w:r>
      <w:r>
        <w:rPr>
          <w:sz w:val="24"/>
          <w:u w:val="single"/>
        </w:rPr>
        <w:t xml:space="preserve">                </w:t>
      </w:r>
      <w:r>
        <w:rPr>
          <w:sz w:val="24"/>
        </w:rPr>
        <w:t>。</w:t>
      </w:r>
    </w:p>
    <w:p>
      <w:pPr>
        <w:spacing w:line="440" w:lineRule="exact"/>
        <w:ind w:right="34" w:rightChars="16" w:firstLine="424" w:firstLineChars="177"/>
        <w:rPr>
          <w:sz w:val="24"/>
        </w:rPr>
      </w:pPr>
      <w:r>
        <w:rPr>
          <w:sz w:val="24"/>
        </w:rPr>
        <w:t>5. 工程质量符合</w:t>
      </w:r>
      <w:r>
        <w:rPr>
          <w:sz w:val="24"/>
          <w:u w:val="single"/>
        </w:rPr>
        <w:t xml:space="preserve">             </w:t>
      </w:r>
      <w:r>
        <w:rPr>
          <w:sz w:val="24"/>
        </w:rPr>
        <w:t>标准。</w:t>
      </w:r>
      <w:r>
        <w:rPr>
          <w:rFonts w:hint="eastAsia"/>
          <w:sz w:val="24"/>
        </w:rPr>
        <w:t>工程</w:t>
      </w:r>
      <w:r>
        <w:rPr>
          <w:sz w:val="24"/>
        </w:rPr>
        <w:t>安全目标：</w:t>
      </w:r>
      <w:r>
        <w:rPr>
          <w:sz w:val="24"/>
          <w:u w:val="single"/>
        </w:rPr>
        <w:t xml:space="preserve">                </w:t>
      </w:r>
      <w:r>
        <w:rPr>
          <w:sz w:val="24"/>
        </w:rPr>
        <w:t>。</w:t>
      </w:r>
    </w:p>
    <w:p>
      <w:pPr>
        <w:spacing w:line="440" w:lineRule="exact"/>
        <w:ind w:right="34" w:rightChars="16" w:firstLine="424" w:firstLineChars="177"/>
        <w:rPr>
          <w:sz w:val="24"/>
        </w:rPr>
      </w:pPr>
      <w:r>
        <w:rPr>
          <w:sz w:val="24"/>
        </w:rPr>
        <w:t>6. 承包人承诺按合同约定承担工程的实施、完成及缺陷修复。</w:t>
      </w:r>
    </w:p>
    <w:p>
      <w:pPr>
        <w:spacing w:line="440" w:lineRule="exact"/>
        <w:ind w:right="34" w:rightChars="16" w:firstLine="424" w:firstLineChars="177"/>
        <w:rPr>
          <w:sz w:val="24"/>
        </w:rPr>
      </w:pPr>
      <w:r>
        <w:rPr>
          <w:sz w:val="24"/>
        </w:rPr>
        <w:t>7. 发包人承诺按合同约定的条件、时间和方式向承包人支付合同价款。</w:t>
      </w:r>
    </w:p>
    <w:p>
      <w:pPr>
        <w:spacing w:line="440" w:lineRule="exact"/>
        <w:ind w:right="34" w:rightChars="16" w:firstLine="424" w:firstLineChars="177"/>
        <w:rPr>
          <w:sz w:val="24"/>
        </w:rPr>
      </w:pPr>
      <w:r>
        <w:rPr>
          <w:sz w:val="24"/>
        </w:rPr>
        <w:t>8. 承包人应按照监理人指示开工，工期为</w:t>
      </w:r>
      <w:r>
        <w:rPr>
          <w:sz w:val="24"/>
          <w:u w:val="single"/>
        </w:rPr>
        <w:t xml:space="preserve">    </w:t>
      </w:r>
      <w:r>
        <w:rPr>
          <w:sz w:val="24"/>
        </w:rPr>
        <w:t>日历天。</w:t>
      </w:r>
    </w:p>
    <w:p>
      <w:pPr>
        <w:spacing w:line="440" w:lineRule="exact"/>
        <w:ind w:firstLine="424" w:firstLineChars="177"/>
        <w:rPr>
          <w:sz w:val="24"/>
        </w:rPr>
      </w:pPr>
      <w:r>
        <w:rPr>
          <w:sz w:val="24"/>
        </w:rPr>
        <w:t>9. 本协议书在承包人提供履约保证金后，由双方法定代表人或其委托代理人签署并加盖单位章后生效。全部工程完工后经交工验收合格、缺陷责任期满签发缺陷责任终止证书后失效。</w:t>
      </w:r>
    </w:p>
    <w:p>
      <w:pPr>
        <w:spacing w:line="440" w:lineRule="exact"/>
        <w:ind w:firstLine="424" w:firstLineChars="177"/>
        <w:rPr>
          <w:sz w:val="24"/>
        </w:rPr>
      </w:pPr>
      <w:r>
        <w:rPr>
          <w:sz w:val="24"/>
        </w:rPr>
        <w:t>10. 本协议书正本二份、副本____份，合同双方各执正本一份，副本____份，当正本与副本的内容不一致时，以正本为准。</w:t>
      </w:r>
    </w:p>
    <w:p>
      <w:pPr>
        <w:spacing w:line="440" w:lineRule="exact"/>
        <w:ind w:firstLine="424" w:firstLineChars="177"/>
        <w:rPr>
          <w:sz w:val="24"/>
        </w:rPr>
      </w:pPr>
      <w:r>
        <w:rPr>
          <w:sz w:val="24"/>
        </w:rPr>
        <w:t>11. 合同未尽事宜，双方另行签订补充协议。补充协议是合同的组成部分。</w:t>
      </w:r>
    </w:p>
    <w:p>
      <w:pPr>
        <w:spacing w:line="440" w:lineRule="exact"/>
        <w:ind w:firstLine="424" w:firstLineChars="177"/>
        <w:rPr>
          <w:sz w:val="24"/>
        </w:rPr>
      </w:pPr>
    </w:p>
    <w:p>
      <w:pPr>
        <w:spacing w:line="440" w:lineRule="exact"/>
        <w:ind w:firstLine="0" w:firstLineChars="0"/>
        <w:rPr>
          <w:sz w:val="24"/>
        </w:rPr>
      </w:pPr>
      <w:r>
        <w:rPr>
          <w:sz w:val="24"/>
        </w:rPr>
        <w:t>发包人：</w:t>
      </w:r>
      <w:r>
        <w:rPr>
          <w:sz w:val="24"/>
          <w:u w:val="single"/>
        </w:rPr>
        <w:t xml:space="preserve">               </w:t>
      </w:r>
      <w:r>
        <w:rPr>
          <w:sz w:val="24"/>
        </w:rPr>
        <w:t>（盖单位章） 承包人：</w:t>
      </w:r>
      <w:r>
        <w:rPr>
          <w:sz w:val="24"/>
          <w:u w:val="single"/>
        </w:rPr>
        <w:t xml:space="preserve">              </w:t>
      </w:r>
      <w:r>
        <w:rPr>
          <w:sz w:val="24"/>
        </w:rPr>
        <w:t>（盖单位章）</w:t>
      </w:r>
    </w:p>
    <w:p>
      <w:pPr>
        <w:spacing w:line="440" w:lineRule="exact"/>
        <w:ind w:firstLine="0" w:firstLineChars="0"/>
        <w:rPr>
          <w:sz w:val="24"/>
        </w:rPr>
      </w:pPr>
      <w:r>
        <w:rPr>
          <w:sz w:val="24"/>
        </w:rPr>
        <w:t>法定代表人或其委托代理人：</w:t>
      </w:r>
      <w:r>
        <w:rPr>
          <w:sz w:val="24"/>
          <w:u w:val="single"/>
        </w:rPr>
        <w:t xml:space="preserve">  </w:t>
      </w:r>
      <w:r>
        <w:rPr>
          <w:sz w:val="24"/>
        </w:rPr>
        <w:t>（签字）法定代表人或其委托代理人：</w:t>
      </w:r>
      <w:r>
        <w:rPr>
          <w:sz w:val="24"/>
          <w:u w:val="single"/>
        </w:rPr>
        <w:t xml:space="preserve">  </w:t>
      </w:r>
      <w:r>
        <w:rPr>
          <w:sz w:val="24"/>
        </w:rPr>
        <w:t>（签字）</w:t>
      </w:r>
    </w:p>
    <w:p>
      <w:pPr>
        <w:spacing w:line="440" w:lineRule="exact"/>
        <w:ind w:firstLine="424" w:firstLineChars="177"/>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 xml:space="preserve">日   </w:t>
      </w:r>
      <w:r>
        <w:rPr>
          <w:rFonts w:hint="eastAsia"/>
          <w:sz w:val="24"/>
        </w:rPr>
        <w:t xml:space="preserve">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40" w:lineRule="exact"/>
        <w:ind w:firstLine="0" w:firstLineChars="0"/>
        <w:rPr>
          <w:sz w:val="24"/>
        </w:rPr>
      </w:pPr>
    </w:p>
    <w:p>
      <w:pPr>
        <w:keepNext/>
        <w:keepLines/>
        <w:spacing w:line="380" w:lineRule="atLeast"/>
        <w:ind w:firstLine="0" w:firstLineChars="0"/>
        <w:outlineLvl w:val="0"/>
        <w:rPr>
          <w:rFonts w:eastAsia="黑体"/>
          <w:bCs/>
          <w:kern w:val="44"/>
          <w:sz w:val="24"/>
        </w:rPr>
      </w:pPr>
      <w:r>
        <w:rPr>
          <w:rFonts w:eastAsia="黑体"/>
          <w:b/>
          <w:bCs/>
          <w:kern w:val="44"/>
          <w:sz w:val="24"/>
          <w:szCs w:val="44"/>
        </w:rPr>
        <w:br w:type="page"/>
      </w:r>
      <w:bookmarkStart w:id="518" w:name="_Toc501257459"/>
      <w:bookmarkStart w:id="519" w:name="_Toc234833232"/>
    </w:p>
    <w:p>
      <w:pPr>
        <w:keepNext/>
        <w:keepLines/>
        <w:spacing w:line="380" w:lineRule="atLeast"/>
        <w:ind w:firstLine="0" w:firstLineChars="0"/>
        <w:outlineLvl w:val="0"/>
        <w:rPr>
          <w:rFonts w:eastAsia="黑体"/>
          <w:bCs/>
          <w:kern w:val="44"/>
          <w:sz w:val="24"/>
        </w:rPr>
      </w:pPr>
      <w:bookmarkStart w:id="520" w:name="_Toc98148187"/>
      <w:bookmarkStart w:id="521" w:name="_Toc138689433"/>
      <w:bookmarkStart w:id="522" w:name="_Toc26657066"/>
      <w:bookmarkStart w:id="523" w:name="_Toc131087909"/>
      <w:bookmarkStart w:id="524" w:name="_Toc14201397"/>
      <w:r>
        <w:rPr>
          <w:rFonts w:eastAsia="黑体"/>
          <w:bCs/>
          <w:kern w:val="44"/>
          <w:sz w:val="24"/>
        </w:rPr>
        <w:t>附件二</w:t>
      </w:r>
      <w:r>
        <w:rPr>
          <w:rFonts w:hint="eastAsia" w:eastAsia="黑体"/>
          <w:bCs/>
          <w:kern w:val="44"/>
          <w:sz w:val="24"/>
        </w:rPr>
        <w:t xml:space="preserve"> </w:t>
      </w:r>
      <w:r>
        <w:rPr>
          <w:rFonts w:eastAsia="黑体"/>
          <w:bCs/>
          <w:kern w:val="44"/>
          <w:sz w:val="24"/>
        </w:rPr>
        <w:t>廉政合同</w:t>
      </w:r>
      <w:bookmarkEnd w:id="518"/>
      <w:bookmarkEnd w:id="519"/>
      <w:bookmarkEnd w:id="520"/>
      <w:bookmarkEnd w:id="521"/>
      <w:bookmarkEnd w:id="522"/>
      <w:bookmarkEnd w:id="523"/>
      <w:bookmarkEnd w:id="524"/>
    </w:p>
    <w:p>
      <w:pPr>
        <w:spacing w:line="440" w:lineRule="exact"/>
        <w:ind w:firstLine="0" w:firstLineChars="0"/>
        <w:jc w:val="center"/>
        <w:rPr>
          <w:rFonts w:eastAsia="黑体"/>
          <w:sz w:val="28"/>
          <w:szCs w:val="28"/>
        </w:rPr>
      </w:pPr>
      <w:r>
        <w:rPr>
          <w:rFonts w:eastAsia="黑体"/>
          <w:sz w:val="28"/>
          <w:szCs w:val="28"/>
        </w:rPr>
        <w:t>廉 政 合 同</w:t>
      </w:r>
    </w:p>
    <w:p>
      <w:pPr>
        <w:spacing w:line="400" w:lineRule="atLeast"/>
        <w:ind w:firstLine="0" w:firstLineChars="0"/>
        <w:rPr>
          <w:rFonts w:eastAsia="黑体"/>
          <w:b/>
          <w:spacing w:val="30"/>
          <w:sz w:val="24"/>
        </w:rPr>
      </w:pPr>
    </w:p>
    <w:p>
      <w:pPr>
        <w:spacing w:line="400" w:lineRule="atLeast"/>
        <w:ind w:firstLine="424" w:firstLineChars="177"/>
        <w:rPr>
          <w:sz w:val="24"/>
        </w:rPr>
      </w:pPr>
      <w:r>
        <w:rPr>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sz w:val="24"/>
          <w:u w:val="single"/>
        </w:rPr>
        <w:t xml:space="preserve"> </w:t>
      </w:r>
      <w:r>
        <w:rPr>
          <w:rFonts w:hint="eastAsia"/>
          <w:sz w:val="24"/>
          <w:u w:val="single"/>
        </w:rPr>
        <w:t xml:space="preserve">  </w:t>
      </w:r>
      <w:r>
        <w:rPr>
          <w:sz w:val="24"/>
          <w:u w:val="single"/>
        </w:rPr>
        <w:t xml:space="preserve">           </w:t>
      </w:r>
      <w:r>
        <w:rPr>
          <w:sz w:val="24"/>
        </w:rPr>
        <w:t>（项目名称）的项目法人</w:t>
      </w:r>
      <w:r>
        <w:rPr>
          <w:sz w:val="24"/>
          <w:u w:val="single"/>
        </w:rPr>
        <w:t xml:space="preserve">    </w:t>
      </w:r>
      <w:r>
        <w:rPr>
          <w:rFonts w:hint="eastAsia"/>
          <w:sz w:val="24"/>
          <w:u w:val="single"/>
        </w:rPr>
        <w:t xml:space="preserve">   </w:t>
      </w:r>
      <w:r>
        <w:rPr>
          <w:sz w:val="24"/>
          <w:u w:val="single"/>
        </w:rPr>
        <w:t xml:space="preserve">    </w:t>
      </w:r>
      <w:r>
        <w:rPr>
          <w:sz w:val="24"/>
        </w:rPr>
        <w:t>（项目法人名称，以下简称“发包人”）与该项目</w:t>
      </w:r>
      <w:r>
        <w:rPr>
          <w:sz w:val="24"/>
          <w:u w:val="single"/>
        </w:rPr>
        <w:t xml:space="preserve">     </w:t>
      </w:r>
      <w:r>
        <w:rPr>
          <w:sz w:val="24"/>
        </w:rPr>
        <w:t>标段的施工单位</w:t>
      </w:r>
      <w:r>
        <w:rPr>
          <w:sz w:val="24"/>
          <w:u w:val="single"/>
        </w:rPr>
        <w:t xml:space="preserve">      </w:t>
      </w:r>
      <w:r>
        <w:rPr>
          <w:rFonts w:hint="eastAsia"/>
          <w:sz w:val="24"/>
          <w:u w:val="single"/>
        </w:rPr>
        <w:t xml:space="preserve">      </w:t>
      </w:r>
      <w:r>
        <w:rPr>
          <w:sz w:val="24"/>
          <w:u w:val="single"/>
        </w:rPr>
        <w:t xml:space="preserve">  </w:t>
      </w:r>
      <w:r>
        <w:rPr>
          <w:sz w:val="24"/>
        </w:rPr>
        <w:t>（施工单位名称，以下简称“承包人”），特订立如下合同。</w:t>
      </w:r>
    </w:p>
    <w:p>
      <w:pPr>
        <w:spacing w:line="400" w:lineRule="atLeast"/>
        <w:ind w:firstLine="424" w:firstLineChars="177"/>
        <w:rPr>
          <w:rFonts w:eastAsia="黑体"/>
          <w:sz w:val="24"/>
        </w:rPr>
      </w:pPr>
      <w:r>
        <w:rPr>
          <w:rFonts w:eastAsia="黑体"/>
          <w:sz w:val="24"/>
        </w:rPr>
        <w:t>1. 发包人和承包人双方的权利和义务</w:t>
      </w:r>
    </w:p>
    <w:p>
      <w:pPr>
        <w:spacing w:line="400" w:lineRule="atLeast"/>
        <w:ind w:firstLine="424" w:firstLineChars="177"/>
        <w:rPr>
          <w:sz w:val="24"/>
        </w:rPr>
      </w:pPr>
      <w:r>
        <w:rPr>
          <w:sz w:val="24"/>
        </w:rPr>
        <w:t>（1）严格遵守党的政策规定和国家有关法律法规及交通运输部的有关规定。</w:t>
      </w:r>
    </w:p>
    <w:p>
      <w:pPr>
        <w:spacing w:line="400" w:lineRule="atLeast"/>
        <w:ind w:firstLine="424" w:firstLineChars="177"/>
        <w:rPr>
          <w:sz w:val="24"/>
        </w:rPr>
      </w:pPr>
      <w:r>
        <w:rPr>
          <w:sz w:val="24"/>
        </w:rPr>
        <w:t>（2）严格执行</w:t>
      </w:r>
      <w:r>
        <w:rPr>
          <w:sz w:val="24"/>
          <w:u w:val="single"/>
        </w:rPr>
        <w:t xml:space="preserve">         </w:t>
      </w:r>
      <w:r>
        <w:rPr>
          <w:sz w:val="24"/>
        </w:rPr>
        <w:t>（项目名称）</w:t>
      </w:r>
      <w:r>
        <w:rPr>
          <w:sz w:val="24"/>
          <w:u w:val="single"/>
        </w:rPr>
        <w:t xml:space="preserve">     </w:t>
      </w:r>
      <w:r>
        <w:rPr>
          <w:sz w:val="24"/>
        </w:rPr>
        <w:t>标段施工合同文件，自觉按合同办事。</w:t>
      </w:r>
    </w:p>
    <w:p>
      <w:pPr>
        <w:spacing w:line="400" w:lineRule="atLeast"/>
        <w:ind w:firstLine="424" w:firstLineChars="177"/>
        <w:rPr>
          <w:sz w:val="24"/>
        </w:rPr>
      </w:pPr>
      <w:r>
        <w:rPr>
          <w:sz w:val="24"/>
        </w:rPr>
        <w:t>（3）双方的业务活动坚持公开、公正、诚信、透明的原则（法律认定的商业秘密和合同文件另有规定除外），不得损害国家和集体利益，</w:t>
      </w:r>
      <w:r>
        <w:rPr>
          <w:rFonts w:hint="eastAsia"/>
          <w:sz w:val="24"/>
        </w:rPr>
        <w:t>不得</w:t>
      </w:r>
      <w:r>
        <w:rPr>
          <w:sz w:val="24"/>
        </w:rPr>
        <w:t>违反工程建设管理规章制度。</w:t>
      </w:r>
    </w:p>
    <w:p>
      <w:pPr>
        <w:spacing w:line="400" w:lineRule="atLeast"/>
        <w:ind w:firstLine="424" w:firstLineChars="177"/>
        <w:rPr>
          <w:sz w:val="24"/>
        </w:rPr>
      </w:pPr>
      <w:r>
        <w:rPr>
          <w:sz w:val="24"/>
        </w:rPr>
        <w:t>（4）建立健全廉政制度，开展廉政教育，设立廉政告示牌，公布举报电话，监督并认真查处违法违纪行为。</w:t>
      </w:r>
    </w:p>
    <w:p>
      <w:pPr>
        <w:spacing w:line="400" w:lineRule="atLeast"/>
        <w:ind w:firstLine="424" w:firstLineChars="177"/>
        <w:rPr>
          <w:sz w:val="24"/>
        </w:rPr>
      </w:pPr>
      <w:r>
        <w:rPr>
          <w:sz w:val="24"/>
        </w:rPr>
        <w:t>（5）发现对方在业务活动中有违反廉政规定的行为，有及时提醒对方纠正的权利和义务。</w:t>
      </w:r>
    </w:p>
    <w:p>
      <w:pPr>
        <w:spacing w:line="400" w:lineRule="atLeast"/>
        <w:ind w:firstLine="424" w:firstLineChars="177"/>
        <w:rPr>
          <w:sz w:val="24"/>
        </w:rPr>
      </w:pPr>
      <w:r>
        <w:rPr>
          <w:sz w:val="24"/>
        </w:rPr>
        <w:t>（6）发现对方严重违反本合同义务条款的行为，有向其上级有关部门举报、建议给予处理并要求告知处理结果的权利。</w:t>
      </w:r>
    </w:p>
    <w:p>
      <w:pPr>
        <w:spacing w:line="400" w:lineRule="atLeast"/>
        <w:ind w:firstLine="424" w:firstLineChars="177"/>
        <w:rPr>
          <w:rFonts w:eastAsia="黑体"/>
          <w:sz w:val="24"/>
        </w:rPr>
      </w:pPr>
      <w:r>
        <w:rPr>
          <w:rFonts w:eastAsia="黑体"/>
          <w:sz w:val="24"/>
        </w:rPr>
        <w:t>2. 发包人的义务</w:t>
      </w:r>
    </w:p>
    <w:p>
      <w:pPr>
        <w:spacing w:line="400" w:lineRule="atLeast"/>
        <w:ind w:firstLine="424" w:firstLineChars="177"/>
        <w:rPr>
          <w:sz w:val="24"/>
        </w:rPr>
      </w:pPr>
      <w:r>
        <w:rPr>
          <w:sz w:val="24"/>
        </w:rPr>
        <w:t>（1）发包人及其工作人员不得索要或接受承包人的礼金、有价证券和贵重物品，不得让承包人报销任何应由发包人或发包人工作人员个人支付的费用等。</w:t>
      </w:r>
    </w:p>
    <w:p>
      <w:pPr>
        <w:spacing w:line="400" w:lineRule="atLeast"/>
        <w:ind w:firstLine="424" w:firstLineChars="177"/>
        <w:rPr>
          <w:sz w:val="24"/>
        </w:rPr>
      </w:pPr>
      <w:r>
        <w:rPr>
          <w:sz w:val="24"/>
        </w:rPr>
        <w:t>（2）发包人工作人员不得参加承包人安排的超标准宴请和娱乐活动；不得接受承包人提供的</w:t>
      </w:r>
      <w:r>
        <w:rPr>
          <w:rFonts w:hint="eastAsia"/>
          <w:sz w:val="24"/>
        </w:rPr>
        <w:t>通信</w:t>
      </w:r>
      <w:r>
        <w:rPr>
          <w:sz w:val="24"/>
        </w:rPr>
        <w:t>工具、交通工具和高档办公用品等。</w:t>
      </w:r>
    </w:p>
    <w:p>
      <w:pPr>
        <w:spacing w:line="400" w:lineRule="atLeast"/>
        <w:ind w:firstLine="424" w:firstLineChars="177"/>
        <w:rPr>
          <w:sz w:val="24"/>
        </w:rPr>
      </w:pPr>
      <w:r>
        <w:rPr>
          <w:sz w:val="24"/>
        </w:rPr>
        <w:t>（3）发包人及其工作人员不得要求或者接受承包人为其住房装修、婚丧嫁娶活动、配偶子女的工作安排以及出国出境、旅游等提供方便等。</w:t>
      </w:r>
    </w:p>
    <w:p>
      <w:pPr>
        <w:spacing w:line="400" w:lineRule="atLeast"/>
        <w:ind w:firstLine="424" w:firstLineChars="177"/>
        <w:rPr>
          <w:sz w:val="24"/>
        </w:rPr>
      </w:pPr>
      <w:r>
        <w:rPr>
          <w:sz w:val="24"/>
        </w:rPr>
        <w:t>（4）发包人工作人员及其配偶、子女不得从事与发包人工程有关的材料设备供应、工程分包、劳务等经济活动等。</w:t>
      </w:r>
    </w:p>
    <w:p>
      <w:pPr>
        <w:spacing w:line="400" w:lineRule="atLeast"/>
        <w:ind w:firstLine="424" w:firstLineChars="177"/>
        <w:rPr>
          <w:sz w:val="24"/>
        </w:rPr>
      </w:pPr>
      <w:r>
        <w:rPr>
          <w:sz w:val="24"/>
        </w:rPr>
        <w:t>（5）发包人及其工作人员不得以任何理由向承包人推荐分包单位或推销材料，不得要求承包人购买合同规定外的材料和设备。</w:t>
      </w:r>
    </w:p>
    <w:p>
      <w:pPr>
        <w:spacing w:line="400" w:lineRule="atLeast"/>
        <w:ind w:firstLine="424" w:firstLineChars="177"/>
        <w:rPr>
          <w:sz w:val="24"/>
        </w:rPr>
      </w:pPr>
      <w:r>
        <w:rPr>
          <w:sz w:val="24"/>
        </w:rPr>
        <w:t>（6）发包人工作人员要秉公办事，不准营私舞弊，不准利用职权从事各种个人有偿中介活动和安排个人施工队伍。</w:t>
      </w:r>
    </w:p>
    <w:p>
      <w:pPr>
        <w:spacing w:line="400" w:lineRule="atLeast"/>
        <w:ind w:firstLine="424" w:firstLineChars="177"/>
        <w:rPr>
          <w:rFonts w:eastAsia="黑体"/>
          <w:sz w:val="24"/>
        </w:rPr>
      </w:pPr>
      <w:r>
        <w:rPr>
          <w:rFonts w:eastAsia="黑体"/>
          <w:sz w:val="24"/>
        </w:rPr>
        <w:t>3. 承包人的义务</w:t>
      </w:r>
    </w:p>
    <w:p>
      <w:pPr>
        <w:spacing w:line="400" w:lineRule="atLeast"/>
        <w:ind w:firstLine="424" w:firstLineChars="177"/>
        <w:rPr>
          <w:sz w:val="24"/>
        </w:rPr>
      </w:pPr>
      <w:r>
        <w:rPr>
          <w:sz w:val="24"/>
        </w:rPr>
        <w:t>（1）承包人不得以任何理由向发包人及其工作人员行贿或馈赠礼金、有价证券、贵重礼品。</w:t>
      </w:r>
    </w:p>
    <w:p>
      <w:pPr>
        <w:spacing w:line="400" w:lineRule="atLeast"/>
        <w:ind w:firstLine="424" w:firstLineChars="177"/>
        <w:rPr>
          <w:sz w:val="24"/>
        </w:rPr>
      </w:pPr>
      <w:r>
        <w:rPr>
          <w:sz w:val="24"/>
        </w:rPr>
        <w:t>（2）承包人不得以任何名义为发包人及其工作人员报销应由发包人单位或个人支付的任何费用。</w:t>
      </w:r>
    </w:p>
    <w:p>
      <w:pPr>
        <w:spacing w:line="400" w:lineRule="atLeast"/>
        <w:ind w:firstLine="424" w:firstLineChars="177"/>
        <w:rPr>
          <w:sz w:val="24"/>
        </w:rPr>
      </w:pPr>
      <w:r>
        <w:rPr>
          <w:sz w:val="24"/>
        </w:rPr>
        <w:t>（3）承包人不得以任何理由安排发包人工作人员参加超标准宴请及娱乐活动。</w:t>
      </w:r>
    </w:p>
    <w:p>
      <w:pPr>
        <w:spacing w:line="400" w:lineRule="atLeast"/>
        <w:ind w:firstLine="424" w:firstLineChars="177"/>
        <w:rPr>
          <w:sz w:val="24"/>
        </w:rPr>
      </w:pPr>
      <w:r>
        <w:rPr>
          <w:sz w:val="24"/>
        </w:rPr>
        <w:t>（4）承包人不得为发包人单位和个人购置或提供通信工具、交通工具和高档办公用品等。</w:t>
      </w:r>
    </w:p>
    <w:p>
      <w:pPr>
        <w:spacing w:line="400" w:lineRule="atLeast"/>
        <w:ind w:firstLine="424" w:firstLineChars="177"/>
        <w:rPr>
          <w:rFonts w:eastAsia="黑体"/>
          <w:sz w:val="24"/>
        </w:rPr>
      </w:pPr>
      <w:r>
        <w:rPr>
          <w:rFonts w:eastAsia="黑体"/>
          <w:sz w:val="24"/>
        </w:rPr>
        <w:t>4. 违约责任</w:t>
      </w:r>
    </w:p>
    <w:p>
      <w:pPr>
        <w:spacing w:line="400" w:lineRule="atLeast"/>
        <w:ind w:firstLine="424" w:firstLineChars="177"/>
        <w:rPr>
          <w:sz w:val="24"/>
        </w:rPr>
      </w:pPr>
      <w:r>
        <w:rPr>
          <w:sz w:val="24"/>
        </w:rPr>
        <w:t>（1）发包人及其工作人员违反本合同第1、2条，按管理权限，依据有关规定给予党纪、政纪或组织处理；涉嫌犯罪的，移交司法机关追究刑事责任；给承包人单位造成经济损失的，应予以赔偿。</w:t>
      </w:r>
    </w:p>
    <w:p>
      <w:pPr>
        <w:spacing w:line="400" w:lineRule="atLeast"/>
        <w:ind w:firstLine="424" w:firstLineChars="177"/>
        <w:rPr>
          <w:sz w:val="24"/>
        </w:rPr>
      </w:pPr>
      <w:r>
        <w:rPr>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atLeast"/>
        <w:ind w:firstLine="424" w:firstLineChars="177"/>
        <w:rPr>
          <w:sz w:val="24"/>
        </w:rPr>
      </w:pPr>
      <w:r>
        <w:rPr>
          <w:rFonts w:eastAsia="黑体"/>
          <w:sz w:val="24"/>
        </w:rPr>
        <w:t>5.</w:t>
      </w:r>
      <w:r>
        <w:rPr>
          <w:sz w:val="24"/>
        </w:rPr>
        <w:t xml:space="preserve">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atLeast"/>
        <w:ind w:firstLine="424" w:firstLineChars="177"/>
        <w:rPr>
          <w:sz w:val="24"/>
        </w:rPr>
      </w:pPr>
      <w:r>
        <w:rPr>
          <w:rFonts w:eastAsia="黑体"/>
          <w:sz w:val="24"/>
        </w:rPr>
        <w:t xml:space="preserve">6. </w:t>
      </w:r>
      <w:r>
        <w:rPr>
          <w:sz w:val="24"/>
        </w:rPr>
        <w:t>本合同有效期为发包人和承包人签署之日起至该工程项目竣工验收后止。</w:t>
      </w:r>
    </w:p>
    <w:p>
      <w:pPr>
        <w:spacing w:line="400" w:lineRule="atLeast"/>
        <w:ind w:firstLine="424" w:firstLineChars="177"/>
        <w:rPr>
          <w:sz w:val="24"/>
        </w:rPr>
      </w:pPr>
      <w:r>
        <w:rPr>
          <w:rFonts w:eastAsia="黑体"/>
          <w:sz w:val="24"/>
        </w:rPr>
        <w:t xml:space="preserve">7. </w:t>
      </w:r>
      <w:r>
        <w:rPr>
          <w:sz w:val="24"/>
        </w:rPr>
        <w:t>本合同作为</w:t>
      </w:r>
      <w:r>
        <w:rPr>
          <w:sz w:val="24"/>
          <w:u w:val="single"/>
        </w:rPr>
        <w:t xml:space="preserve">         </w:t>
      </w:r>
      <w:r>
        <w:rPr>
          <w:sz w:val="24"/>
        </w:rPr>
        <w:t>（项目名称）</w:t>
      </w:r>
      <w:r>
        <w:rPr>
          <w:sz w:val="24"/>
          <w:u w:val="single"/>
        </w:rPr>
        <w:t xml:space="preserve">     </w:t>
      </w:r>
      <w:r>
        <w:rPr>
          <w:sz w:val="24"/>
        </w:rPr>
        <w:t>标段施工合同的附件，与工程施工合同具有同等的法律效力，经合同双方签署</w:t>
      </w:r>
      <w:r>
        <w:rPr>
          <w:rFonts w:hint="eastAsia"/>
          <w:sz w:val="24"/>
        </w:rPr>
        <w:t>后</w:t>
      </w:r>
      <w:r>
        <w:rPr>
          <w:sz w:val="24"/>
        </w:rPr>
        <w:t>立即生效。</w:t>
      </w:r>
    </w:p>
    <w:p>
      <w:pPr>
        <w:spacing w:line="400" w:lineRule="atLeast"/>
        <w:ind w:firstLine="424" w:firstLineChars="177"/>
        <w:rPr>
          <w:sz w:val="24"/>
        </w:rPr>
      </w:pPr>
      <w:r>
        <w:rPr>
          <w:rFonts w:eastAsia="黑体"/>
          <w:sz w:val="24"/>
        </w:rPr>
        <w:t>8.</w:t>
      </w:r>
      <w:r>
        <w:rPr>
          <w:sz w:val="24"/>
        </w:rPr>
        <w:t xml:space="preserve"> 本合同一式四份，由发包人和承包人各执一份，送交发包人和承包人的监督单位各一份。</w:t>
      </w:r>
    </w:p>
    <w:p>
      <w:pPr>
        <w:spacing w:line="400" w:lineRule="atLeast"/>
        <w:ind w:firstLine="424" w:firstLineChars="177"/>
        <w:rPr>
          <w:sz w:val="24"/>
        </w:rPr>
      </w:pPr>
    </w:p>
    <w:p>
      <w:pPr>
        <w:spacing w:line="440" w:lineRule="exact"/>
        <w:ind w:firstLine="0" w:firstLineChars="0"/>
        <w:rPr>
          <w:sz w:val="24"/>
        </w:rPr>
      </w:pPr>
      <w:r>
        <w:rPr>
          <w:sz w:val="24"/>
        </w:rPr>
        <w:t>发包人：</w:t>
      </w:r>
      <w:r>
        <w:rPr>
          <w:sz w:val="24"/>
          <w:u w:val="single"/>
        </w:rPr>
        <w:t xml:space="preserve">               </w:t>
      </w:r>
      <w:r>
        <w:rPr>
          <w:sz w:val="24"/>
        </w:rPr>
        <w:t>（盖单位章）  承包人：</w:t>
      </w:r>
      <w:r>
        <w:rPr>
          <w:sz w:val="24"/>
          <w:u w:val="single"/>
        </w:rPr>
        <w:t xml:space="preserve">              </w:t>
      </w:r>
      <w:r>
        <w:rPr>
          <w:sz w:val="24"/>
        </w:rPr>
        <w:t>（盖单位章）</w:t>
      </w:r>
    </w:p>
    <w:p>
      <w:pPr>
        <w:spacing w:line="440" w:lineRule="exact"/>
        <w:ind w:firstLine="0" w:firstLineChars="0"/>
        <w:rPr>
          <w:sz w:val="24"/>
        </w:rPr>
      </w:pPr>
      <w:r>
        <w:rPr>
          <w:sz w:val="24"/>
        </w:rPr>
        <w:t>法定代表人或其委托代理人：</w:t>
      </w:r>
      <w:r>
        <w:rPr>
          <w:sz w:val="24"/>
          <w:u w:val="single"/>
        </w:rPr>
        <w:t xml:space="preserve">  </w:t>
      </w:r>
      <w:r>
        <w:rPr>
          <w:sz w:val="24"/>
        </w:rPr>
        <w:t>（签字）法定代表人或其委托代理人：</w:t>
      </w:r>
      <w:r>
        <w:rPr>
          <w:sz w:val="24"/>
          <w:u w:val="single"/>
        </w:rPr>
        <w:t xml:space="preserve">  </w:t>
      </w:r>
      <w:r>
        <w:rPr>
          <w:sz w:val="24"/>
        </w:rPr>
        <w:t>（签字）</w:t>
      </w:r>
    </w:p>
    <w:p>
      <w:pPr>
        <w:spacing w:line="440" w:lineRule="exact"/>
        <w:ind w:firstLine="424" w:firstLineChars="177"/>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 xml:space="preserve">日   </w:t>
      </w:r>
      <w:r>
        <w:rPr>
          <w:rFonts w:hint="eastAsia"/>
          <w:sz w:val="24"/>
        </w:rPr>
        <w:t xml:space="preserve">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00" w:lineRule="atLeast"/>
        <w:ind w:firstLine="0" w:firstLineChars="0"/>
        <w:rPr>
          <w:sz w:val="24"/>
        </w:rPr>
      </w:pPr>
    </w:p>
    <w:p>
      <w:pPr>
        <w:spacing w:line="400" w:lineRule="atLeast"/>
        <w:ind w:firstLine="0" w:firstLineChars="0"/>
        <w:rPr>
          <w:sz w:val="24"/>
          <w:u w:val="single"/>
        </w:rPr>
      </w:pPr>
      <w:r>
        <w:rPr>
          <w:sz w:val="24"/>
        </w:rPr>
        <w:t>发包人监督单位：</w:t>
      </w:r>
      <w:r>
        <w:rPr>
          <w:sz w:val="24"/>
          <w:u w:val="single"/>
        </w:rPr>
        <w:t>（全称）（盖单位章）</w:t>
      </w:r>
      <w:r>
        <w:rPr>
          <w:sz w:val="24"/>
        </w:rPr>
        <w:t xml:space="preserve">    承包人监督单位：</w:t>
      </w:r>
      <w:r>
        <w:rPr>
          <w:sz w:val="24"/>
          <w:u w:val="single"/>
        </w:rPr>
        <w:t>（全称）（盖单位章）</w:t>
      </w:r>
    </w:p>
    <w:p>
      <w:pPr>
        <w:widowControl/>
        <w:ind w:firstLine="424" w:firstLineChars="177"/>
        <w:jc w:val="left"/>
        <w:rPr>
          <w:sz w:val="24"/>
        </w:rPr>
      </w:pPr>
      <w:r>
        <w:rPr>
          <w:sz w:val="24"/>
        </w:rPr>
        <w:br w:type="page"/>
      </w:r>
    </w:p>
    <w:p>
      <w:pPr>
        <w:keepNext/>
        <w:keepLines/>
        <w:spacing w:line="380" w:lineRule="atLeast"/>
        <w:ind w:firstLine="0" w:firstLineChars="0"/>
        <w:outlineLvl w:val="0"/>
        <w:rPr>
          <w:rFonts w:eastAsia="黑体"/>
          <w:bCs/>
          <w:kern w:val="44"/>
          <w:sz w:val="24"/>
        </w:rPr>
      </w:pPr>
      <w:bookmarkStart w:id="525" w:name="_Toc138689434"/>
      <w:bookmarkStart w:id="526" w:name="_Toc234833233"/>
      <w:bookmarkStart w:id="527" w:name="_Toc26657067"/>
      <w:bookmarkStart w:id="528" w:name="_Toc131087910"/>
      <w:bookmarkStart w:id="529" w:name="_Toc501257460"/>
      <w:bookmarkStart w:id="530" w:name="_Toc98148188"/>
      <w:bookmarkStart w:id="531" w:name="_Toc14201398"/>
      <w:r>
        <w:rPr>
          <w:rFonts w:eastAsia="黑体"/>
          <w:bCs/>
          <w:kern w:val="44"/>
          <w:sz w:val="24"/>
        </w:rPr>
        <w:t>附件三</w:t>
      </w:r>
      <w:r>
        <w:rPr>
          <w:rFonts w:hint="eastAsia" w:eastAsia="黑体"/>
          <w:bCs/>
          <w:kern w:val="44"/>
          <w:sz w:val="24"/>
        </w:rPr>
        <w:t xml:space="preserve"> </w:t>
      </w:r>
      <w:r>
        <w:rPr>
          <w:rFonts w:eastAsia="黑体"/>
          <w:bCs/>
          <w:kern w:val="44"/>
          <w:sz w:val="24"/>
        </w:rPr>
        <w:t>安全生产合同</w:t>
      </w:r>
      <w:bookmarkEnd w:id="525"/>
      <w:bookmarkEnd w:id="526"/>
      <w:bookmarkEnd w:id="527"/>
      <w:bookmarkEnd w:id="528"/>
      <w:bookmarkEnd w:id="529"/>
      <w:bookmarkEnd w:id="530"/>
      <w:bookmarkEnd w:id="531"/>
    </w:p>
    <w:p>
      <w:pPr>
        <w:spacing w:line="390" w:lineRule="atLeast"/>
        <w:ind w:firstLine="0" w:firstLineChars="0"/>
        <w:jc w:val="center"/>
        <w:rPr>
          <w:rFonts w:eastAsia="黑体"/>
          <w:sz w:val="28"/>
          <w:szCs w:val="28"/>
        </w:rPr>
      </w:pPr>
      <w:r>
        <w:rPr>
          <w:rFonts w:eastAsia="黑体"/>
          <w:sz w:val="28"/>
          <w:szCs w:val="28"/>
        </w:rPr>
        <w:t>安全生产合同</w:t>
      </w:r>
    </w:p>
    <w:p>
      <w:pPr>
        <w:spacing w:line="390" w:lineRule="atLeast"/>
        <w:ind w:firstLine="0" w:firstLineChars="0"/>
        <w:rPr>
          <w:rFonts w:eastAsia="黑体"/>
          <w:b/>
          <w:sz w:val="24"/>
        </w:rPr>
      </w:pPr>
    </w:p>
    <w:p>
      <w:pPr>
        <w:spacing w:line="390" w:lineRule="atLeast"/>
        <w:ind w:firstLine="424" w:firstLineChars="177"/>
        <w:rPr>
          <w:sz w:val="24"/>
        </w:rPr>
      </w:pPr>
      <w:r>
        <w:rPr>
          <w:sz w:val="24"/>
        </w:rPr>
        <w:t>为在</w:t>
      </w:r>
      <w:r>
        <w:rPr>
          <w:sz w:val="24"/>
          <w:u w:val="single"/>
        </w:rPr>
        <w:t xml:space="preserve">             </w:t>
      </w:r>
      <w:r>
        <w:rPr>
          <w:sz w:val="24"/>
        </w:rPr>
        <w:t>（项目名称）</w:t>
      </w:r>
      <w:r>
        <w:rPr>
          <w:sz w:val="24"/>
          <w:u w:val="single"/>
        </w:rPr>
        <w:t xml:space="preserve">     </w:t>
      </w:r>
      <w:r>
        <w:rPr>
          <w:sz w:val="24"/>
        </w:rPr>
        <w:t>标段施工合同的实施过程中创造安全、高效的施工环境，切实搞好本项目的安全管理工作，本项目发包人</w:t>
      </w:r>
      <w:r>
        <w:rPr>
          <w:sz w:val="24"/>
          <w:u w:val="single"/>
        </w:rPr>
        <w:t xml:space="preserve">           </w:t>
      </w:r>
      <w:r>
        <w:rPr>
          <w:sz w:val="24"/>
        </w:rPr>
        <w:t>（发包人名称，以下简称“发包人”）与承包人</w:t>
      </w:r>
      <w:r>
        <w:rPr>
          <w:sz w:val="24"/>
          <w:u w:val="single"/>
        </w:rPr>
        <w:t xml:space="preserve">            </w:t>
      </w:r>
      <w:r>
        <w:rPr>
          <w:sz w:val="24"/>
        </w:rPr>
        <w:t>（承包人名称，以下简称“承包人”）特此签订安全生产合同</w:t>
      </w:r>
      <w:r>
        <w:rPr>
          <w:rFonts w:hint="eastAsia"/>
          <w:sz w:val="24"/>
        </w:rPr>
        <w:t>。</w:t>
      </w:r>
    </w:p>
    <w:p>
      <w:pPr>
        <w:spacing w:line="390" w:lineRule="atLeast"/>
        <w:ind w:firstLine="424" w:firstLineChars="177"/>
        <w:rPr>
          <w:rFonts w:eastAsia="黑体"/>
          <w:sz w:val="24"/>
        </w:rPr>
      </w:pPr>
      <w:r>
        <w:rPr>
          <w:rFonts w:eastAsia="黑体"/>
          <w:sz w:val="24"/>
        </w:rPr>
        <w:t>1.发包人职责</w:t>
      </w:r>
    </w:p>
    <w:p>
      <w:pPr>
        <w:spacing w:line="390" w:lineRule="atLeast"/>
        <w:ind w:firstLine="424" w:firstLineChars="177"/>
        <w:rPr>
          <w:sz w:val="24"/>
        </w:rPr>
      </w:pPr>
      <w:r>
        <w:rPr>
          <w:sz w:val="24"/>
        </w:rPr>
        <w:t>（1）严格遵守国家有关安全生产的法律法规，认真执行工程承包合同中的有关安全要求。</w:t>
      </w:r>
    </w:p>
    <w:p>
      <w:pPr>
        <w:spacing w:line="390" w:lineRule="atLeast"/>
        <w:ind w:firstLine="424" w:firstLineChars="177"/>
        <w:rPr>
          <w:sz w:val="24"/>
        </w:rPr>
      </w:pPr>
      <w:r>
        <w:rPr>
          <w:sz w:val="24"/>
        </w:rPr>
        <w:t>（2）按照“安全第一、预防为主</w:t>
      </w:r>
      <w:r>
        <w:rPr>
          <w:rFonts w:hint="eastAsia"/>
          <w:sz w:val="24"/>
        </w:rPr>
        <w:t>、</w:t>
      </w:r>
      <w:r>
        <w:rPr>
          <w:sz w:val="24"/>
        </w:rPr>
        <w:t>综合治理”和坚持“管生产必须管安全”的原则进行安全生产管理，做到生产与安全工作同时计划、布置、检查、总结和评比。</w:t>
      </w:r>
    </w:p>
    <w:p>
      <w:pPr>
        <w:spacing w:line="390" w:lineRule="atLeast"/>
        <w:ind w:firstLine="424" w:firstLineChars="177"/>
        <w:rPr>
          <w:sz w:val="24"/>
        </w:rPr>
      </w:pPr>
      <w:r>
        <w:rPr>
          <w:sz w:val="24"/>
        </w:rPr>
        <w:t>（3）重要的安全设施必须坚持与主体工程“三同时”的原则，即：同时设计、审批，同时施工，同时验收，投入使用。</w:t>
      </w:r>
    </w:p>
    <w:p>
      <w:pPr>
        <w:spacing w:line="390" w:lineRule="atLeast"/>
        <w:ind w:firstLine="424" w:firstLineChars="177"/>
        <w:rPr>
          <w:sz w:val="24"/>
        </w:rPr>
      </w:pPr>
      <w:r>
        <w:rPr>
          <w:sz w:val="24"/>
        </w:rPr>
        <w:t>（4）定期召开安全生产调度会，及时传达中央及地方有关安全生产的精神。</w:t>
      </w:r>
    </w:p>
    <w:p>
      <w:pPr>
        <w:spacing w:line="390" w:lineRule="atLeast"/>
        <w:ind w:firstLine="424" w:firstLineChars="177"/>
        <w:rPr>
          <w:sz w:val="24"/>
        </w:rPr>
      </w:pPr>
      <w:r>
        <w:rPr>
          <w:sz w:val="24"/>
        </w:rPr>
        <w:t>（5）组织对承包人施工现场</w:t>
      </w:r>
      <w:r>
        <w:rPr>
          <w:rFonts w:hint="eastAsia"/>
          <w:sz w:val="24"/>
        </w:rPr>
        <w:t>进行</w:t>
      </w:r>
      <w:r>
        <w:rPr>
          <w:sz w:val="24"/>
        </w:rPr>
        <w:t>安全生产检查，监督承包人及时处理发现的各种安全隐患。</w:t>
      </w:r>
    </w:p>
    <w:p>
      <w:pPr>
        <w:spacing w:line="390" w:lineRule="atLeast"/>
        <w:ind w:firstLine="424" w:firstLineChars="177"/>
        <w:rPr>
          <w:rFonts w:eastAsia="黑体"/>
          <w:sz w:val="24"/>
        </w:rPr>
      </w:pPr>
      <w:r>
        <w:rPr>
          <w:rFonts w:eastAsia="黑体"/>
          <w:sz w:val="24"/>
        </w:rPr>
        <w:t>2.承包人职责</w:t>
      </w:r>
    </w:p>
    <w:p>
      <w:pPr>
        <w:spacing w:line="390" w:lineRule="atLeast"/>
        <w:ind w:firstLine="424" w:firstLineChars="177"/>
        <w:rPr>
          <w:sz w:val="24"/>
        </w:rPr>
      </w:pPr>
      <w:r>
        <w:rPr>
          <w:sz w:val="24"/>
        </w:rPr>
        <w:t>（1）严格遵守《中华人民共和国安全生产法》《建设工程安全生产管理条例》等国家有关安全生产的法律法规</w:t>
      </w:r>
      <w:r>
        <w:rPr>
          <w:rFonts w:hint="eastAsia"/>
          <w:sz w:val="24"/>
        </w:rPr>
        <w:t>、</w:t>
      </w:r>
      <w:r>
        <w:rPr>
          <w:sz w:val="24"/>
        </w:rPr>
        <w:t>《公路水运工程安全生产监督管理办法》</w:t>
      </w:r>
      <w:r>
        <w:rPr>
          <w:rFonts w:hint="eastAsia"/>
          <w:sz w:val="24"/>
        </w:rPr>
        <w:t>和</w:t>
      </w:r>
      <w:r>
        <w:rPr>
          <w:sz w:val="24"/>
        </w:rPr>
        <w:t>《公路工程施工安全技术</w:t>
      </w:r>
      <w:r>
        <w:rPr>
          <w:rFonts w:hint="eastAsia"/>
          <w:sz w:val="24"/>
        </w:rPr>
        <w:t>规范</w:t>
      </w:r>
      <w:r>
        <w:rPr>
          <w:sz w:val="24"/>
        </w:rPr>
        <w:t>》等有关安全生产的规定。认真执行工程承包合同中的有关安全要求。</w:t>
      </w:r>
    </w:p>
    <w:p>
      <w:pPr>
        <w:spacing w:line="390" w:lineRule="atLeast"/>
        <w:ind w:firstLine="424" w:firstLineChars="177"/>
        <w:rPr>
          <w:sz w:val="24"/>
        </w:rPr>
      </w:pPr>
      <w:r>
        <w:rPr>
          <w:sz w:val="24"/>
        </w:rPr>
        <w:t>（2）坚持“安全第一、预防为主</w:t>
      </w:r>
      <w:r>
        <w:rPr>
          <w:rFonts w:hint="eastAsia"/>
          <w:sz w:val="24"/>
        </w:rPr>
        <w:t>、</w:t>
      </w:r>
      <w:r>
        <w:rPr>
          <w:sz w:val="24"/>
        </w:rPr>
        <w:t>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90" w:lineRule="atLeast"/>
        <w:ind w:firstLine="424" w:firstLineChars="177"/>
        <w:rPr>
          <w:sz w:val="24"/>
        </w:rPr>
      </w:pPr>
      <w:r>
        <w:rPr>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90" w:lineRule="atLeast"/>
        <w:ind w:firstLine="424" w:firstLineChars="177"/>
        <w:rPr>
          <w:sz w:val="24"/>
        </w:rPr>
      </w:pPr>
      <w:r>
        <w:rPr>
          <w:sz w:val="24"/>
        </w:rPr>
        <w:t>（4）承包人在任何时候都应采取各种合理的预防措施，防止其员工发生任何违法、违禁、暴力或妨碍治安的行为。</w:t>
      </w:r>
    </w:p>
    <w:p>
      <w:pPr>
        <w:spacing w:line="390" w:lineRule="atLeast"/>
        <w:ind w:firstLine="424" w:firstLineChars="177"/>
        <w:rPr>
          <w:sz w:val="24"/>
        </w:rPr>
      </w:pPr>
      <w:r>
        <w:rPr>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瓦斯检验等特殊工种的人员，经过专业培训，获得《安全操作合格证》后，方准持证上岗。施工现场如出现特种作业无证操作现象时，项目经理必须承担管理责任。</w:t>
      </w:r>
    </w:p>
    <w:p>
      <w:pPr>
        <w:spacing w:line="390" w:lineRule="atLeast"/>
        <w:ind w:firstLine="424" w:firstLineChars="177"/>
        <w:rPr>
          <w:sz w:val="24"/>
        </w:rPr>
      </w:pPr>
      <w:r>
        <w:rPr>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90" w:lineRule="atLeast"/>
        <w:ind w:firstLine="424" w:firstLineChars="177"/>
        <w:rPr>
          <w:sz w:val="24"/>
        </w:rPr>
      </w:pPr>
      <w:r>
        <w:rPr>
          <w:sz w:val="24"/>
        </w:rPr>
        <w:t>（7）操作人员上岗，必须按规定穿戴防护用品。施工负责人和安全检查员应随时检查劳动防护用品的穿戴情况，不按规定穿戴防护用品的人员不得上岗。</w:t>
      </w:r>
    </w:p>
    <w:p>
      <w:pPr>
        <w:spacing w:line="390" w:lineRule="atLeast"/>
        <w:ind w:firstLine="424" w:firstLineChars="177"/>
        <w:rPr>
          <w:sz w:val="24"/>
        </w:rPr>
      </w:pPr>
      <w:r>
        <w:rPr>
          <w:sz w:val="24"/>
        </w:rPr>
        <w:t>（8）所有施工机具设备和高空作业的设备均应定期检查，并有安全员的签字记录，保证其经常处于完好状态；不合格的机具、设备和劳动保护用品严禁使用。</w:t>
      </w:r>
    </w:p>
    <w:p>
      <w:pPr>
        <w:spacing w:line="390" w:lineRule="atLeast"/>
        <w:ind w:firstLine="424" w:firstLineChars="177"/>
        <w:rPr>
          <w:sz w:val="24"/>
        </w:rPr>
      </w:pPr>
      <w:r>
        <w:rPr>
          <w:sz w:val="24"/>
        </w:rPr>
        <w:t>（9）施工中采用新技术、新工艺、新设备、新材料时，必须制定相应的安全技术措施，施工现场必须具有相关的安全标志牌。</w:t>
      </w:r>
    </w:p>
    <w:p>
      <w:pPr>
        <w:spacing w:line="390" w:lineRule="atLeast"/>
        <w:ind w:firstLine="424" w:firstLineChars="177"/>
        <w:rPr>
          <w:sz w:val="24"/>
        </w:rPr>
      </w:pPr>
      <w:r>
        <w:rPr>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90" w:lineRule="atLeast"/>
        <w:ind w:firstLine="424" w:firstLineChars="177"/>
        <w:rPr>
          <w:sz w:val="24"/>
        </w:rPr>
      </w:pPr>
      <w:r>
        <w:rPr>
          <w:sz w:val="24"/>
        </w:rPr>
        <w:t>（11）安全生产费用按照《公路水运工程安全生产监督管理办法》的相关规定使用和管理。</w:t>
      </w:r>
    </w:p>
    <w:p>
      <w:pPr>
        <w:spacing w:line="390" w:lineRule="atLeast"/>
        <w:ind w:firstLine="424" w:firstLineChars="177"/>
        <w:rPr>
          <w:rFonts w:eastAsia="黑体"/>
          <w:sz w:val="24"/>
        </w:rPr>
      </w:pPr>
      <w:r>
        <w:rPr>
          <w:rFonts w:eastAsia="黑体"/>
          <w:sz w:val="24"/>
        </w:rPr>
        <w:t>3.违约责任</w:t>
      </w:r>
    </w:p>
    <w:p>
      <w:pPr>
        <w:spacing w:line="390" w:lineRule="atLeast"/>
        <w:ind w:firstLine="424" w:firstLineChars="177"/>
        <w:rPr>
          <w:sz w:val="24"/>
        </w:rPr>
      </w:pPr>
      <w:r>
        <w:rPr>
          <w:sz w:val="24"/>
        </w:rPr>
        <w:t>如因发包人或承包人违约造成安全事故，将依法追究责任。</w:t>
      </w:r>
    </w:p>
    <w:p>
      <w:pPr>
        <w:spacing w:line="390" w:lineRule="atLeast"/>
        <w:ind w:firstLine="424" w:firstLineChars="177"/>
        <w:rPr>
          <w:sz w:val="24"/>
        </w:rPr>
      </w:pPr>
      <w:r>
        <w:rPr>
          <w:sz w:val="24"/>
        </w:rPr>
        <w:t>4. 本合同由双方法定代表人或其授权的代理人签署并加盖单位章后生效，全部工程竣工验收后失效。</w:t>
      </w:r>
    </w:p>
    <w:p>
      <w:pPr>
        <w:spacing w:line="390" w:lineRule="atLeast"/>
        <w:ind w:firstLine="424" w:firstLineChars="177"/>
        <w:rPr>
          <w:sz w:val="24"/>
        </w:rPr>
      </w:pPr>
      <w:r>
        <w:rPr>
          <w:sz w:val="24"/>
        </w:rPr>
        <w:t>5. 本合同正本二份、副本____份，合同双方各执正本一份，副本____份，当正本与副本的内容不一致时，以正本为准。</w:t>
      </w:r>
    </w:p>
    <w:p>
      <w:pPr>
        <w:spacing w:line="400" w:lineRule="atLeast"/>
        <w:ind w:firstLine="525" w:firstLineChars="0"/>
        <w:rPr>
          <w:sz w:val="24"/>
        </w:rPr>
      </w:pPr>
    </w:p>
    <w:p>
      <w:pPr>
        <w:spacing w:line="440" w:lineRule="exact"/>
        <w:ind w:firstLine="0" w:firstLineChars="0"/>
        <w:rPr>
          <w:sz w:val="24"/>
        </w:rPr>
      </w:pPr>
      <w:r>
        <w:rPr>
          <w:sz w:val="24"/>
        </w:rPr>
        <w:t>发包人：</w:t>
      </w:r>
      <w:r>
        <w:rPr>
          <w:sz w:val="24"/>
          <w:u w:val="single"/>
        </w:rPr>
        <w:t xml:space="preserve">               </w:t>
      </w:r>
      <w:r>
        <w:rPr>
          <w:sz w:val="24"/>
        </w:rPr>
        <w:t>（盖单位章）  承包人：</w:t>
      </w:r>
      <w:r>
        <w:rPr>
          <w:sz w:val="24"/>
          <w:u w:val="single"/>
        </w:rPr>
        <w:t xml:space="preserve">              </w:t>
      </w:r>
      <w:r>
        <w:rPr>
          <w:sz w:val="24"/>
        </w:rPr>
        <w:t>（盖单位章）</w:t>
      </w:r>
    </w:p>
    <w:p>
      <w:pPr>
        <w:spacing w:line="440" w:lineRule="exact"/>
        <w:ind w:firstLine="0" w:firstLineChars="0"/>
        <w:rPr>
          <w:sz w:val="24"/>
        </w:rPr>
      </w:pPr>
      <w:r>
        <w:rPr>
          <w:sz w:val="24"/>
        </w:rPr>
        <w:t>法定代表人或其委托代理人：</w:t>
      </w:r>
      <w:r>
        <w:rPr>
          <w:sz w:val="24"/>
          <w:u w:val="single"/>
        </w:rPr>
        <w:t xml:space="preserve">  </w:t>
      </w:r>
      <w:r>
        <w:rPr>
          <w:i/>
          <w:sz w:val="24"/>
        </w:rPr>
        <w:t>（</w:t>
      </w:r>
      <w:r>
        <w:rPr>
          <w:sz w:val="24"/>
        </w:rPr>
        <w:t>签字）法定代表人或其委托代理人：</w:t>
      </w:r>
      <w:r>
        <w:rPr>
          <w:sz w:val="24"/>
          <w:u w:val="single"/>
        </w:rPr>
        <w:t xml:space="preserve">  </w:t>
      </w:r>
      <w:r>
        <w:rPr>
          <w:sz w:val="24"/>
        </w:rPr>
        <w:t>（签字）</w:t>
      </w:r>
    </w:p>
    <w:p>
      <w:pPr>
        <w:spacing w:line="440" w:lineRule="exact"/>
        <w:ind w:firstLine="840" w:firstLineChars="35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 xml:space="preserve">日   </w:t>
      </w:r>
      <w:r>
        <w:rPr>
          <w:rFonts w:hint="eastAsia"/>
          <w:sz w:val="24"/>
        </w:rPr>
        <w:t xml:space="preserve">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keepNext/>
        <w:keepLines/>
        <w:spacing w:line="380" w:lineRule="atLeast"/>
        <w:ind w:firstLine="0" w:firstLineChars="0"/>
        <w:outlineLvl w:val="0"/>
        <w:rPr>
          <w:rFonts w:eastAsia="黑体"/>
          <w:sz w:val="24"/>
        </w:rPr>
      </w:pPr>
      <w:r>
        <w:rPr>
          <w:rFonts w:eastAsia="黑体"/>
          <w:sz w:val="24"/>
        </w:rPr>
        <w:br w:type="page"/>
      </w:r>
      <w:bookmarkStart w:id="532" w:name="_Toc131087911"/>
      <w:bookmarkStart w:id="533" w:name="_Toc138689435"/>
      <w:bookmarkStart w:id="534" w:name="_Toc98148189"/>
      <w:bookmarkStart w:id="535" w:name="_Toc26657068"/>
      <w:r>
        <w:rPr>
          <w:rFonts w:eastAsia="黑体"/>
          <w:sz w:val="24"/>
        </w:rPr>
        <w:t>附件四</w:t>
      </w:r>
      <w:r>
        <w:rPr>
          <w:rFonts w:hint="eastAsia" w:eastAsia="黑体"/>
          <w:sz w:val="24"/>
        </w:rPr>
        <w:t xml:space="preserve"> </w:t>
      </w:r>
      <w:r>
        <w:rPr>
          <w:rFonts w:eastAsia="黑体"/>
          <w:sz w:val="24"/>
        </w:rPr>
        <w:t>其他管理</w:t>
      </w:r>
      <w:r>
        <w:rPr>
          <w:rFonts w:eastAsia="黑体"/>
          <w:bCs/>
          <w:kern w:val="44"/>
          <w:sz w:val="24"/>
        </w:rPr>
        <w:t>人员</w:t>
      </w:r>
      <w:r>
        <w:rPr>
          <w:rFonts w:eastAsia="黑体"/>
          <w:sz w:val="24"/>
        </w:rPr>
        <w:t>和技术人员最低要求</w:t>
      </w:r>
      <w:bookmarkEnd w:id="532"/>
      <w:bookmarkEnd w:id="533"/>
      <w:bookmarkEnd w:id="534"/>
      <w:bookmarkEnd w:id="535"/>
    </w:p>
    <w:p>
      <w:pPr>
        <w:adjustRightInd w:val="0"/>
        <w:snapToGrid w:val="0"/>
        <w:spacing w:line="400" w:lineRule="atLeast"/>
        <w:ind w:firstLine="0" w:firstLineChars="0"/>
        <w:rPr>
          <w:sz w:val="24"/>
        </w:rPr>
      </w:pPr>
    </w:p>
    <w:tbl>
      <w:tblPr>
        <w:tblStyle w:val="56"/>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8"/>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09" w:type="dxa"/>
            <w:vAlign w:val="center"/>
          </w:tcPr>
          <w:p>
            <w:pPr>
              <w:adjustRightInd w:val="0"/>
              <w:snapToGrid w:val="0"/>
              <w:spacing w:line="400" w:lineRule="atLeast"/>
              <w:ind w:firstLine="0" w:firstLineChars="0"/>
              <w:jc w:val="center"/>
              <w:rPr>
                <w:sz w:val="24"/>
              </w:rPr>
            </w:pPr>
            <w:r>
              <w:rPr>
                <w:sz w:val="24"/>
              </w:rPr>
              <w:t>人  员</w:t>
            </w:r>
          </w:p>
        </w:tc>
        <w:tc>
          <w:tcPr>
            <w:tcW w:w="1318" w:type="dxa"/>
            <w:vAlign w:val="center"/>
          </w:tcPr>
          <w:p>
            <w:pPr>
              <w:adjustRightInd w:val="0"/>
              <w:snapToGrid w:val="0"/>
              <w:spacing w:line="400" w:lineRule="atLeast"/>
              <w:ind w:firstLine="0" w:firstLineChars="0"/>
              <w:jc w:val="center"/>
              <w:rPr>
                <w:sz w:val="24"/>
              </w:rPr>
            </w:pPr>
            <w:r>
              <w:rPr>
                <w:sz w:val="24"/>
              </w:rPr>
              <w:t>数  量</w:t>
            </w:r>
          </w:p>
        </w:tc>
        <w:tc>
          <w:tcPr>
            <w:tcW w:w="5793" w:type="dxa"/>
            <w:vAlign w:val="center"/>
          </w:tcPr>
          <w:p>
            <w:pPr>
              <w:adjustRightInd w:val="0"/>
              <w:snapToGrid w:val="0"/>
              <w:spacing w:line="400" w:lineRule="atLeast"/>
              <w:ind w:firstLine="0" w:firstLineChars="0"/>
              <w:jc w:val="center"/>
              <w:rPr>
                <w:sz w:val="24"/>
              </w:rPr>
            </w:pPr>
            <w:r>
              <w:rPr>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vAlign w:val="center"/>
          </w:tcPr>
          <w:p>
            <w:pPr>
              <w:spacing w:line="400" w:lineRule="atLeast"/>
              <w:ind w:firstLine="0" w:firstLineChars="0"/>
              <w:jc w:val="center"/>
              <w:rPr>
                <w:sz w:val="24"/>
              </w:rPr>
            </w:pPr>
          </w:p>
        </w:tc>
        <w:tc>
          <w:tcPr>
            <w:tcW w:w="1318" w:type="dxa"/>
            <w:vAlign w:val="center"/>
          </w:tcPr>
          <w:p>
            <w:pPr>
              <w:adjustRightInd w:val="0"/>
              <w:snapToGrid w:val="0"/>
              <w:spacing w:line="400" w:lineRule="atLeast"/>
              <w:ind w:firstLine="0" w:firstLineChars="0"/>
              <w:jc w:val="center"/>
              <w:rPr>
                <w:sz w:val="24"/>
              </w:rPr>
            </w:pPr>
          </w:p>
        </w:tc>
        <w:tc>
          <w:tcPr>
            <w:tcW w:w="5793" w:type="dxa"/>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vAlign w:val="center"/>
          </w:tcPr>
          <w:p>
            <w:pPr>
              <w:spacing w:line="400" w:lineRule="atLeast"/>
              <w:ind w:firstLine="0" w:firstLineChars="0"/>
              <w:jc w:val="center"/>
              <w:rPr>
                <w:sz w:val="24"/>
              </w:rPr>
            </w:pPr>
          </w:p>
        </w:tc>
        <w:tc>
          <w:tcPr>
            <w:tcW w:w="1318" w:type="dxa"/>
            <w:vAlign w:val="center"/>
          </w:tcPr>
          <w:p>
            <w:pPr>
              <w:adjustRightInd w:val="0"/>
              <w:snapToGrid w:val="0"/>
              <w:spacing w:line="400" w:lineRule="atLeast"/>
              <w:ind w:firstLine="0" w:firstLineChars="0"/>
              <w:jc w:val="center"/>
              <w:rPr>
                <w:sz w:val="24"/>
              </w:rPr>
            </w:pPr>
          </w:p>
        </w:tc>
        <w:tc>
          <w:tcPr>
            <w:tcW w:w="5793" w:type="dxa"/>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vAlign w:val="center"/>
          </w:tcPr>
          <w:p>
            <w:pPr>
              <w:spacing w:line="400" w:lineRule="atLeast"/>
              <w:ind w:firstLine="0" w:firstLineChars="0"/>
              <w:jc w:val="center"/>
              <w:rPr>
                <w:sz w:val="24"/>
              </w:rPr>
            </w:pPr>
          </w:p>
        </w:tc>
        <w:tc>
          <w:tcPr>
            <w:tcW w:w="1318" w:type="dxa"/>
            <w:vAlign w:val="center"/>
          </w:tcPr>
          <w:p>
            <w:pPr>
              <w:adjustRightInd w:val="0"/>
              <w:snapToGrid w:val="0"/>
              <w:spacing w:line="400" w:lineRule="atLeast"/>
              <w:ind w:firstLine="0" w:firstLineChars="0"/>
              <w:jc w:val="center"/>
              <w:rPr>
                <w:sz w:val="24"/>
              </w:rPr>
            </w:pPr>
          </w:p>
        </w:tc>
        <w:tc>
          <w:tcPr>
            <w:tcW w:w="5793" w:type="dxa"/>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5793"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bl>
    <w:p>
      <w:pPr>
        <w:adjustRightInd w:val="0"/>
        <w:snapToGrid w:val="0"/>
        <w:spacing w:line="400" w:lineRule="atLeast"/>
        <w:ind w:firstLine="0" w:firstLineChars="0"/>
        <w:jc w:val="center"/>
        <w:rPr>
          <w:rFonts w:eastAsia="黑体"/>
          <w:sz w:val="24"/>
        </w:rPr>
      </w:pPr>
    </w:p>
    <w:p>
      <w:pPr>
        <w:keepNext/>
        <w:keepLines/>
        <w:spacing w:line="380" w:lineRule="atLeast"/>
        <w:ind w:firstLine="120" w:firstLineChars="50"/>
        <w:outlineLvl w:val="0"/>
        <w:rPr>
          <w:bCs/>
          <w:sz w:val="32"/>
          <w:szCs w:val="32"/>
        </w:rPr>
      </w:pPr>
      <w:r>
        <w:rPr>
          <w:rFonts w:eastAsia="黑体"/>
          <w:sz w:val="24"/>
        </w:rPr>
        <w:br w:type="page"/>
      </w:r>
      <w:bookmarkStart w:id="536" w:name="_Toc138689436"/>
      <w:bookmarkStart w:id="537" w:name="_Toc26657069"/>
      <w:bookmarkStart w:id="538" w:name="_Toc131087912"/>
      <w:bookmarkStart w:id="539" w:name="_Toc98148190"/>
      <w:r>
        <w:rPr>
          <w:rFonts w:eastAsia="黑体"/>
          <w:sz w:val="24"/>
        </w:rPr>
        <w:t>附件五</w:t>
      </w:r>
      <w:r>
        <w:rPr>
          <w:rFonts w:hint="eastAsia" w:eastAsia="黑体"/>
          <w:sz w:val="24"/>
        </w:rPr>
        <w:t xml:space="preserve"> </w:t>
      </w:r>
      <w:r>
        <w:rPr>
          <w:rFonts w:eastAsia="黑体"/>
          <w:sz w:val="24"/>
        </w:rPr>
        <w:t>主要</w:t>
      </w:r>
      <w:r>
        <w:rPr>
          <w:rFonts w:eastAsia="黑体"/>
          <w:bCs/>
          <w:kern w:val="44"/>
          <w:sz w:val="24"/>
        </w:rPr>
        <w:t>机械</w:t>
      </w:r>
      <w:r>
        <w:rPr>
          <w:rFonts w:eastAsia="黑体"/>
          <w:sz w:val="24"/>
        </w:rPr>
        <w:t>设备和试验检测设备最低要求</w:t>
      </w:r>
      <w:bookmarkEnd w:id="536"/>
      <w:bookmarkEnd w:id="537"/>
      <w:bookmarkEnd w:id="538"/>
      <w:bookmarkEnd w:id="539"/>
    </w:p>
    <w:p>
      <w:pPr>
        <w:adjustRightInd w:val="0"/>
        <w:snapToGrid w:val="0"/>
        <w:spacing w:line="400" w:lineRule="atLeast"/>
        <w:ind w:firstLine="0" w:firstLineChars="0"/>
        <w:rPr>
          <w:bCs/>
        </w:rPr>
      </w:pPr>
    </w:p>
    <w:tbl>
      <w:tblPr>
        <w:tblStyle w:val="56"/>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3194"/>
        <w:gridCol w:w="9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vAlign w:val="center"/>
          </w:tcPr>
          <w:p>
            <w:pPr>
              <w:adjustRightInd w:val="0"/>
              <w:snapToGrid w:val="0"/>
              <w:spacing w:line="400" w:lineRule="atLeast"/>
              <w:ind w:firstLine="0" w:firstLineChars="0"/>
              <w:jc w:val="center"/>
              <w:rPr>
                <w:sz w:val="24"/>
              </w:rPr>
            </w:pPr>
            <w:r>
              <w:rPr>
                <w:sz w:val="24"/>
              </w:rPr>
              <w:t>设备名称</w:t>
            </w:r>
          </w:p>
        </w:tc>
        <w:tc>
          <w:tcPr>
            <w:tcW w:w="3194" w:type="dxa"/>
            <w:vAlign w:val="center"/>
          </w:tcPr>
          <w:p>
            <w:pPr>
              <w:adjustRightInd w:val="0"/>
              <w:snapToGrid w:val="0"/>
              <w:spacing w:line="400" w:lineRule="atLeast"/>
              <w:ind w:firstLine="0" w:firstLineChars="0"/>
              <w:jc w:val="center"/>
              <w:rPr>
                <w:sz w:val="24"/>
              </w:rPr>
            </w:pPr>
            <w:r>
              <w:rPr>
                <w:sz w:val="24"/>
              </w:rPr>
              <w:t>规格、功率及容量</w:t>
            </w:r>
          </w:p>
        </w:tc>
        <w:tc>
          <w:tcPr>
            <w:tcW w:w="950" w:type="dxa"/>
            <w:vAlign w:val="center"/>
          </w:tcPr>
          <w:p>
            <w:pPr>
              <w:adjustRightInd w:val="0"/>
              <w:snapToGrid w:val="0"/>
              <w:spacing w:line="400" w:lineRule="atLeast"/>
              <w:ind w:firstLine="0" w:firstLineChars="0"/>
              <w:jc w:val="center"/>
              <w:rPr>
                <w:sz w:val="24"/>
              </w:rPr>
            </w:pPr>
            <w:r>
              <w:rPr>
                <w:sz w:val="24"/>
              </w:rPr>
              <w:t>单位</w:t>
            </w:r>
          </w:p>
        </w:tc>
        <w:tc>
          <w:tcPr>
            <w:tcW w:w="2202" w:type="dxa"/>
            <w:vAlign w:val="center"/>
          </w:tcPr>
          <w:p>
            <w:pPr>
              <w:adjustRightInd w:val="0"/>
              <w:snapToGrid w:val="0"/>
              <w:spacing w:line="400" w:lineRule="atLeast"/>
              <w:ind w:firstLine="0" w:firstLineChars="0"/>
              <w:jc w:val="center"/>
              <w:rPr>
                <w:sz w:val="24"/>
              </w:rPr>
            </w:pPr>
            <w:r>
              <w:rPr>
                <w:sz w:val="24"/>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vAlign w:val="center"/>
          </w:tcPr>
          <w:p>
            <w:pPr>
              <w:adjustRightInd w:val="0"/>
              <w:snapToGrid w:val="0"/>
              <w:spacing w:line="400" w:lineRule="atLeast"/>
              <w:ind w:firstLine="0" w:firstLineChars="0"/>
              <w:jc w:val="center"/>
              <w:rPr>
                <w:sz w:val="24"/>
              </w:rPr>
            </w:pPr>
          </w:p>
        </w:tc>
        <w:tc>
          <w:tcPr>
            <w:tcW w:w="3194" w:type="dxa"/>
            <w:vAlign w:val="center"/>
          </w:tcPr>
          <w:p>
            <w:pPr>
              <w:spacing w:line="400" w:lineRule="atLeast"/>
              <w:ind w:firstLine="0" w:firstLineChars="0"/>
              <w:rPr>
                <w:sz w:val="24"/>
              </w:rPr>
            </w:pPr>
          </w:p>
        </w:tc>
        <w:tc>
          <w:tcPr>
            <w:tcW w:w="950" w:type="dxa"/>
            <w:vAlign w:val="center"/>
          </w:tcPr>
          <w:p>
            <w:pPr>
              <w:adjustRightInd w:val="0"/>
              <w:snapToGrid w:val="0"/>
              <w:spacing w:line="400" w:lineRule="atLeast"/>
              <w:ind w:firstLine="0" w:firstLineChars="0"/>
              <w:jc w:val="center"/>
              <w:rPr>
                <w:sz w:val="24"/>
              </w:rPr>
            </w:pPr>
          </w:p>
        </w:tc>
        <w:tc>
          <w:tcPr>
            <w:tcW w:w="2202" w:type="dxa"/>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vAlign w:val="center"/>
          </w:tcPr>
          <w:p>
            <w:pPr>
              <w:adjustRightInd w:val="0"/>
              <w:snapToGrid w:val="0"/>
              <w:spacing w:line="400" w:lineRule="atLeast"/>
              <w:ind w:firstLine="0" w:firstLineChars="0"/>
              <w:jc w:val="center"/>
              <w:rPr>
                <w:sz w:val="24"/>
              </w:rPr>
            </w:pPr>
          </w:p>
        </w:tc>
        <w:tc>
          <w:tcPr>
            <w:tcW w:w="3194" w:type="dxa"/>
            <w:vAlign w:val="center"/>
          </w:tcPr>
          <w:p>
            <w:pPr>
              <w:spacing w:line="400" w:lineRule="atLeast"/>
              <w:ind w:firstLine="0" w:firstLineChars="0"/>
              <w:rPr>
                <w:sz w:val="24"/>
              </w:rPr>
            </w:pPr>
          </w:p>
        </w:tc>
        <w:tc>
          <w:tcPr>
            <w:tcW w:w="950" w:type="dxa"/>
            <w:vAlign w:val="center"/>
          </w:tcPr>
          <w:p>
            <w:pPr>
              <w:adjustRightInd w:val="0"/>
              <w:snapToGrid w:val="0"/>
              <w:spacing w:line="400" w:lineRule="atLeast"/>
              <w:ind w:firstLine="0" w:firstLineChars="0"/>
              <w:jc w:val="center"/>
              <w:rPr>
                <w:sz w:val="24"/>
              </w:rPr>
            </w:pPr>
          </w:p>
        </w:tc>
        <w:tc>
          <w:tcPr>
            <w:tcW w:w="2202" w:type="dxa"/>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vAlign w:val="center"/>
          </w:tcPr>
          <w:p>
            <w:pPr>
              <w:adjustRightInd w:val="0"/>
              <w:snapToGrid w:val="0"/>
              <w:spacing w:line="400" w:lineRule="atLeast"/>
              <w:ind w:firstLine="0" w:firstLineChars="0"/>
              <w:jc w:val="center"/>
              <w:rPr>
                <w:sz w:val="24"/>
              </w:rPr>
            </w:pPr>
          </w:p>
        </w:tc>
        <w:tc>
          <w:tcPr>
            <w:tcW w:w="3194" w:type="dxa"/>
            <w:vAlign w:val="center"/>
          </w:tcPr>
          <w:p>
            <w:pPr>
              <w:spacing w:line="400" w:lineRule="atLeast"/>
              <w:ind w:firstLine="0" w:firstLineChars="0"/>
              <w:rPr>
                <w:sz w:val="24"/>
              </w:rPr>
            </w:pPr>
          </w:p>
        </w:tc>
        <w:tc>
          <w:tcPr>
            <w:tcW w:w="950" w:type="dxa"/>
            <w:vAlign w:val="center"/>
          </w:tcPr>
          <w:p>
            <w:pPr>
              <w:adjustRightInd w:val="0"/>
              <w:snapToGrid w:val="0"/>
              <w:spacing w:line="400" w:lineRule="atLeast"/>
              <w:ind w:firstLine="0" w:firstLineChars="0"/>
              <w:jc w:val="center"/>
              <w:rPr>
                <w:sz w:val="24"/>
              </w:rPr>
            </w:pPr>
          </w:p>
        </w:tc>
        <w:tc>
          <w:tcPr>
            <w:tcW w:w="2202" w:type="dxa"/>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3194"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220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3194"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220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3194"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220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3194"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220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3194"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220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3194"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sz w:val="24"/>
              </w:rPr>
            </w:pPr>
          </w:p>
        </w:tc>
        <w:tc>
          <w:tcPr>
            <w:tcW w:w="220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sz w:val="24"/>
              </w:rPr>
            </w:pPr>
          </w:p>
        </w:tc>
      </w:tr>
    </w:tbl>
    <w:p>
      <w:pPr>
        <w:adjustRightInd w:val="0"/>
        <w:snapToGrid w:val="0"/>
        <w:spacing w:line="400" w:lineRule="atLeast"/>
        <w:ind w:firstLine="0" w:firstLineChars="0"/>
        <w:rPr>
          <w:bCs/>
        </w:rPr>
      </w:pPr>
    </w:p>
    <w:p>
      <w:pPr>
        <w:spacing w:line="400" w:lineRule="atLeast"/>
        <w:ind w:firstLine="0" w:firstLineChars="0"/>
        <w:rPr>
          <w:rFonts w:eastAsia="黑体"/>
          <w:sz w:val="24"/>
        </w:rPr>
      </w:pPr>
      <w:r>
        <w:rPr>
          <w:rFonts w:eastAsia="黑体"/>
          <w:sz w:val="24"/>
        </w:rPr>
        <w:br w:type="page"/>
      </w:r>
    </w:p>
    <w:p>
      <w:pPr>
        <w:keepNext/>
        <w:keepLines/>
        <w:spacing w:line="380" w:lineRule="atLeast"/>
        <w:ind w:firstLine="0" w:firstLineChars="0"/>
        <w:outlineLvl w:val="0"/>
        <w:rPr>
          <w:rFonts w:eastAsia="黑体"/>
          <w:sz w:val="24"/>
        </w:rPr>
      </w:pPr>
      <w:bookmarkStart w:id="540" w:name="_Toc26657070"/>
      <w:bookmarkStart w:id="541" w:name="_Toc98148191"/>
      <w:bookmarkStart w:id="542" w:name="_Toc138689437"/>
      <w:bookmarkStart w:id="543" w:name="_Toc131087913"/>
      <w:r>
        <w:rPr>
          <w:rFonts w:eastAsia="黑体"/>
          <w:sz w:val="24"/>
        </w:rPr>
        <w:t>附件六</w:t>
      </w:r>
      <w:r>
        <w:rPr>
          <w:rFonts w:hint="eastAsia" w:eastAsia="黑体"/>
          <w:sz w:val="24"/>
        </w:rPr>
        <w:t xml:space="preserve"> </w:t>
      </w:r>
      <w:r>
        <w:rPr>
          <w:rFonts w:eastAsia="黑体"/>
          <w:sz w:val="24"/>
        </w:rPr>
        <w:t>项目经理委任书</w:t>
      </w:r>
      <w:bookmarkEnd w:id="540"/>
      <w:bookmarkEnd w:id="541"/>
      <w:bookmarkEnd w:id="542"/>
      <w:bookmarkEnd w:id="543"/>
    </w:p>
    <w:p>
      <w:pPr>
        <w:snapToGrid w:val="0"/>
        <w:spacing w:line="400" w:lineRule="atLeast"/>
        <w:ind w:firstLine="0" w:firstLineChars="0"/>
        <w:jc w:val="center"/>
        <w:rPr>
          <w:rFonts w:eastAsia="黑体"/>
          <w:sz w:val="28"/>
          <w:szCs w:val="28"/>
          <w:u w:val="single"/>
        </w:rPr>
      </w:pPr>
      <w:r>
        <w:rPr>
          <w:rFonts w:eastAsia="黑体"/>
          <w:sz w:val="28"/>
          <w:szCs w:val="28"/>
          <w:u w:val="single"/>
        </w:rPr>
        <w:t>（承包人全称）</w:t>
      </w:r>
    </w:p>
    <w:p>
      <w:pPr>
        <w:snapToGrid w:val="0"/>
        <w:spacing w:line="400" w:lineRule="atLeast"/>
        <w:ind w:firstLine="0" w:firstLineChars="0"/>
        <w:jc w:val="center"/>
        <w:rPr>
          <w:rFonts w:eastAsia="黑体"/>
          <w:sz w:val="28"/>
          <w:szCs w:val="28"/>
        </w:rPr>
      </w:pPr>
      <w:r>
        <w:rPr>
          <w:rFonts w:eastAsia="黑体"/>
          <w:sz w:val="28"/>
          <w:szCs w:val="28"/>
          <w:u w:val="single"/>
        </w:rPr>
        <w:t xml:space="preserve">（合同工程名称） </w:t>
      </w:r>
      <w:r>
        <w:rPr>
          <w:rFonts w:eastAsia="黑体"/>
          <w:sz w:val="28"/>
          <w:szCs w:val="28"/>
        </w:rPr>
        <w:t>项目经理委任书</w:t>
      </w:r>
    </w:p>
    <w:p>
      <w:pPr>
        <w:snapToGrid w:val="0"/>
        <w:spacing w:line="400" w:lineRule="atLeast"/>
        <w:ind w:firstLine="0" w:firstLineChars="0"/>
        <w:rPr>
          <w:rFonts w:eastAsia="黑体"/>
          <w:sz w:val="24"/>
        </w:rPr>
      </w:pPr>
    </w:p>
    <w:p>
      <w:pPr>
        <w:snapToGrid w:val="0"/>
        <w:spacing w:line="400" w:lineRule="atLeast"/>
        <w:ind w:firstLine="0" w:firstLineChars="0"/>
        <w:rPr>
          <w:rFonts w:eastAsia="黑体"/>
          <w:sz w:val="24"/>
        </w:rPr>
      </w:pPr>
    </w:p>
    <w:p>
      <w:pPr>
        <w:spacing w:line="400" w:lineRule="atLeast"/>
        <w:ind w:firstLine="0" w:firstLineChars="0"/>
        <w:rPr>
          <w:sz w:val="24"/>
        </w:rPr>
      </w:pPr>
      <w:r>
        <w:rPr>
          <w:sz w:val="24"/>
        </w:rPr>
        <w:t>致：</w:t>
      </w:r>
      <w:r>
        <w:rPr>
          <w:sz w:val="24"/>
          <w:u w:val="single"/>
        </w:rPr>
        <w:t>（发包人全称）</w:t>
      </w:r>
    </w:p>
    <w:p>
      <w:pPr>
        <w:spacing w:line="400" w:lineRule="atLeast"/>
        <w:ind w:firstLine="616" w:firstLineChars="257"/>
        <w:rPr>
          <w:sz w:val="24"/>
        </w:rPr>
      </w:pPr>
      <w:r>
        <w:rPr>
          <w:sz w:val="24"/>
          <w:u w:val="single"/>
        </w:rPr>
        <w:t xml:space="preserve">  （承包人全称） </w:t>
      </w:r>
      <w:r>
        <w:rPr>
          <w:sz w:val="24"/>
        </w:rPr>
        <w:t>法定代表人</w:t>
      </w:r>
      <w:r>
        <w:rPr>
          <w:sz w:val="24"/>
          <w:u w:val="single"/>
        </w:rPr>
        <w:t xml:space="preserve"> （职务、姓名） </w:t>
      </w:r>
      <w:r>
        <w:rPr>
          <w:sz w:val="24"/>
        </w:rPr>
        <w:t>代表本单位委任</w:t>
      </w:r>
      <w:r>
        <w:rPr>
          <w:sz w:val="24"/>
          <w:u w:val="single"/>
        </w:rPr>
        <w:t xml:space="preserve"> （职务、姓名） </w:t>
      </w:r>
      <w:r>
        <w:rPr>
          <w:sz w:val="24"/>
        </w:rPr>
        <w:t>为</w:t>
      </w:r>
      <w:r>
        <w:rPr>
          <w:sz w:val="24"/>
          <w:u w:val="single"/>
        </w:rPr>
        <w:t>（合同工程名称）</w:t>
      </w:r>
      <w:r>
        <w:rPr>
          <w:sz w:val="24"/>
        </w:rPr>
        <w:t>的项目经理。凡本合同执行中的有关技术、工程进度、现场管理、质量检验、结算与支付等方面工作，由</w:t>
      </w:r>
      <w:r>
        <w:rPr>
          <w:sz w:val="24"/>
          <w:u w:val="single"/>
        </w:rPr>
        <w:t xml:space="preserve">  （姓名） </w:t>
      </w:r>
      <w:r>
        <w:rPr>
          <w:sz w:val="24"/>
        </w:rPr>
        <w:t>代表本单位全面负责。</w:t>
      </w:r>
    </w:p>
    <w:p>
      <w:pPr>
        <w:spacing w:line="400" w:lineRule="atLeast"/>
        <w:ind w:firstLine="616" w:firstLineChars="257"/>
        <w:rPr>
          <w:sz w:val="24"/>
        </w:rPr>
      </w:pPr>
    </w:p>
    <w:p>
      <w:pPr>
        <w:snapToGrid w:val="0"/>
        <w:spacing w:line="400" w:lineRule="atLeast"/>
        <w:ind w:firstLine="0" w:firstLineChars="0"/>
        <w:rPr>
          <w:sz w:val="24"/>
        </w:rPr>
      </w:pPr>
      <w:r>
        <w:rPr>
          <w:sz w:val="24"/>
        </w:rPr>
        <w:t xml:space="preserve">                                承包人：</w:t>
      </w:r>
      <w:r>
        <w:rPr>
          <w:sz w:val="24"/>
          <w:u w:val="single"/>
        </w:rPr>
        <w:t xml:space="preserve">              </w:t>
      </w:r>
      <w:r>
        <w:rPr>
          <w:sz w:val="24"/>
        </w:rPr>
        <w:t>（盖单位章）</w:t>
      </w:r>
    </w:p>
    <w:p>
      <w:pPr>
        <w:snapToGrid w:val="0"/>
        <w:spacing w:line="400" w:lineRule="atLeast"/>
        <w:ind w:firstLine="4603" w:firstLineChars="1918"/>
        <w:jc w:val="left"/>
        <w:rPr>
          <w:sz w:val="24"/>
          <w:u w:val="single"/>
        </w:rPr>
      </w:pPr>
      <w:r>
        <w:rPr>
          <w:sz w:val="24"/>
        </w:rPr>
        <w:t>法定代表人：</w:t>
      </w:r>
      <w:r>
        <w:rPr>
          <w:sz w:val="24"/>
          <w:u w:val="single"/>
        </w:rPr>
        <w:t xml:space="preserve">    （职务）    </w:t>
      </w:r>
    </w:p>
    <w:p>
      <w:pPr>
        <w:snapToGrid w:val="0"/>
        <w:spacing w:line="400" w:lineRule="atLeast"/>
        <w:ind w:firstLine="0" w:firstLineChars="0"/>
        <w:rPr>
          <w:sz w:val="24"/>
          <w:u w:val="single"/>
        </w:rPr>
      </w:pPr>
      <w:r>
        <w:rPr>
          <w:sz w:val="24"/>
        </w:rPr>
        <w:t xml:space="preserve">                                                   </w:t>
      </w:r>
      <w:r>
        <w:rPr>
          <w:sz w:val="24"/>
          <w:u w:val="single"/>
        </w:rPr>
        <w:t xml:space="preserve">    （姓名）   </w:t>
      </w:r>
    </w:p>
    <w:p>
      <w:pPr>
        <w:snapToGrid w:val="0"/>
        <w:spacing w:line="400" w:lineRule="atLeast"/>
        <w:ind w:firstLine="0" w:firstLineChars="0"/>
        <w:rPr>
          <w:sz w:val="24"/>
          <w:u w:val="single"/>
        </w:rPr>
      </w:pPr>
      <w:r>
        <w:rPr>
          <w:sz w:val="24"/>
        </w:rPr>
        <w:t xml:space="preserve">                                                   </w:t>
      </w:r>
      <w:r>
        <w:rPr>
          <w:sz w:val="24"/>
          <w:u w:val="single"/>
        </w:rPr>
        <w:t xml:space="preserve">    （签字）   </w:t>
      </w:r>
    </w:p>
    <w:p>
      <w:pPr>
        <w:snapToGrid w:val="0"/>
        <w:spacing w:line="400" w:lineRule="atLeast"/>
        <w:ind w:firstLine="0" w:firstLineChars="0"/>
        <w:rPr>
          <w:sz w:val="24"/>
        </w:rPr>
      </w:pP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Bdr>
          <w:bottom w:val="single" w:color="auto" w:sz="6" w:space="1"/>
        </w:pBdr>
        <w:snapToGrid w:val="0"/>
        <w:spacing w:line="400" w:lineRule="atLeast"/>
        <w:ind w:firstLine="0" w:firstLineChars="0"/>
        <w:jc w:val="center"/>
        <w:rPr>
          <w:sz w:val="24"/>
        </w:rPr>
      </w:pPr>
      <w:r>
        <w:rPr>
          <w:sz w:val="24"/>
        </w:rPr>
        <w:t xml:space="preserve">  </w:t>
      </w:r>
    </w:p>
    <w:p>
      <w:pPr>
        <w:pBdr>
          <w:bottom w:val="single" w:color="auto" w:sz="6" w:space="1"/>
        </w:pBdr>
        <w:snapToGrid w:val="0"/>
        <w:spacing w:line="400" w:lineRule="atLeast"/>
        <w:ind w:firstLine="0" w:firstLineChars="0"/>
        <w:jc w:val="center"/>
        <w:rPr>
          <w:sz w:val="24"/>
        </w:rPr>
      </w:pPr>
    </w:p>
    <w:p>
      <w:pPr>
        <w:snapToGrid w:val="0"/>
        <w:spacing w:line="400" w:lineRule="atLeast"/>
        <w:ind w:firstLine="0" w:firstLineChars="0"/>
        <w:rPr>
          <w:sz w:val="24"/>
        </w:rPr>
      </w:pPr>
    </w:p>
    <w:p>
      <w:pPr>
        <w:ind w:firstLine="420"/>
      </w:pPr>
      <w:bookmarkStart w:id="544" w:name="_Toc26657071"/>
      <w:r>
        <w:t xml:space="preserve">抄送：  （监理人）  </w:t>
      </w:r>
    </w:p>
    <w:p>
      <w:pPr>
        <w:keepNext/>
        <w:keepLines/>
        <w:spacing w:line="380" w:lineRule="atLeast"/>
        <w:ind w:firstLine="0" w:firstLineChars="0"/>
        <w:outlineLvl w:val="0"/>
        <w:rPr>
          <w:rFonts w:eastAsia="黑体"/>
          <w:sz w:val="24"/>
        </w:rPr>
      </w:pPr>
      <w:r>
        <w:rPr>
          <w:sz w:val="24"/>
        </w:rPr>
        <w:br w:type="page"/>
      </w:r>
      <w:bookmarkStart w:id="545" w:name="_Toc98148192"/>
      <w:bookmarkStart w:id="546" w:name="_Toc138689438"/>
      <w:bookmarkStart w:id="547" w:name="_Toc131087914"/>
      <w:r>
        <w:rPr>
          <w:rFonts w:eastAsia="黑体"/>
          <w:bCs/>
          <w:kern w:val="44"/>
          <w:sz w:val="24"/>
        </w:rPr>
        <w:t>附件七</w:t>
      </w:r>
      <w:r>
        <w:rPr>
          <w:rFonts w:hint="eastAsia" w:eastAsia="黑体"/>
          <w:bCs/>
          <w:kern w:val="44"/>
          <w:sz w:val="24"/>
        </w:rPr>
        <w:t xml:space="preserve"> </w:t>
      </w:r>
      <w:r>
        <w:rPr>
          <w:rFonts w:eastAsia="黑体"/>
          <w:bCs/>
          <w:kern w:val="44"/>
          <w:sz w:val="24"/>
        </w:rPr>
        <w:t>履约</w:t>
      </w:r>
      <w:r>
        <w:rPr>
          <w:rFonts w:hint="eastAsia" w:eastAsia="黑体"/>
          <w:bCs/>
          <w:kern w:val="44"/>
          <w:sz w:val="24"/>
        </w:rPr>
        <w:t>保证金</w:t>
      </w:r>
      <w:r>
        <w:rPr>
          <w:rFonts w:eastAsia="黑体"/>
          <w:bCs/>
          <w:kern w:val="44"/>
          <w:sz w:val="24"/>
        </w:rPr>
        <w:t>格式</w:t>
      </w:r>
      <w:bookmarkEnd w:id="544"/>
      <w:bookmarkEnd w:id="545"/>
      <w:bookmarkEnd w:id="546"/>
      <w:bookmarkEnd w:id="547"/>
    </w:p>
    <w:p>
      <w:pPr>
        <w:spacing w:line="400" w:lineRule="atLeast"/>
        <w:ind w:firstLine="0" w:firstLineChars="0"/>
        <w:rPr>
          <w:rFonts w:eastAsia="黑体"/>
          <w:sz w:val="24"/>
        </w:rPr>
      </w:pPr>
      <w:r>
        <w:rPr>
          <w:rFonts w:hint="eastAsia"/>
          <w:szCs w:val="21"/>
        </w:rPr>
        <w:t>（</w:t>
      </w:r>
      <w:r>
        <w:t>如采用银行保函或担保机构担保或保证保险，</w:t>
      </w:r>
      <w:r>
        <w:rPr>
          <w:rFonts w:hint="eastAsia"/>
          <w:szCs w:val="21"/>
        </w:rPr>
        <w:t>格式如下，未经发包人同意不允许更改，如确需更改，须事先征得发包人同意）</w:t>
      </w:r>
    </w:p>
    <w:p>
      <w:pPr>
        <w:spacing w:line="400" w:lineRule="atLeast"/>
        <w:ind w:firstLine="3360" w:firstLineChars="1200"/>
        <w:rPr>
          <w:rFonts w:eastAsia="黑体"/>
          <w:sz w:val="28"/>
          <w:szCs w:val="28"/>
        </w:rPr>
      </w:pPr>
    </w:p>
    <w:p>
      <w:pPr>
        <w:spacing w:line="400" w:lineRule="atLeast"/>
        <w:ind w:firstLine="0" w:firstLineChars="0"/>
        <w:jc w:val="center"/>
        <w:rPr>
          <w:rFonts w:eastAsia="黑体"/>
          <w:sz w:val="28"/>
          <w:szCs w:val="28"/>
        </w:rPr>
      </w:pPr>
      <w:r>
        <w:rPr>
          <w:rFonts w:hint="eastAsia" w:eastAsia="黑体"/>
          <w:sz w:val="28"/>
          <w:szCs w:val="28"/>
        </w:rPr>
        <w:t>履约</w:t>
      </w:r>
      <w:r>
        <w:rPr>
          <w:rFonts w:eastAsia="黑体"/>
          <w:sz w:val="28"/>
          <w:szCs w:val="28"/>
        </w:rPr>
        <w:t>保证金</w:t>
      </w:r>
    </w:p>
    <w:p>
      <w:pPr>
        <w:spacing w:line="400" w:lineRule="atLeast"/>
        <w:ind w:firstLine="0" w:firstLineChars="0"/>
        <w:rPr>
          <w:sz w:val="24"/>
        </w:rPr>
      </w:pPr>
    </w:p>
    <w:p>
      <w:pPr>
        <w:spacing w:line="360" w:lineRule="auto"/>
        <w:ind w:firstLine="48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（受益人名称）： </w:t>
      </w:r>
    </w:p>
    <w:p>
      <w:pPr>
        <w:spacing w:line="360" w:lineRule="auto"/>
        <w:ind w:firstLine="480"/>
        <w:rPr>
          <w:rFonts w:hint="eastAsia" w:ascii="宋体" w:hAnsi="宋体" w:eastAsia="宋体" w:cs="宋体"/>
          <w:sz w:val="24"/>
        </w:rPr>
      </w:pPr>
      <w:r>
        <w:rPr>
          <w:rFonts w:hint="eastAsia" w:ascii="宋体" w:hAnsi="宋体" w:eastAsia="宋体" w:cs="宋体"/>
          <w:sz w:val="24"/>
        </w:rPr>
        <w:t>鉴于</w:t>
      </w:r>
      <w:r>
        <w:rPr>
          <w:rFonts w:hint="eastAsia" w:ascii="宋体" w:hAnsi="宋体" w:eastAsia="宋体" w:cs="宋体"/>
          <w:sz w:val="24"/>
          <w:u w:val="single"/>
        </w:rPr>
        <w:t xml:space="preserve">        </w:t>
      </w:r>
      <w:r>
        <w:rPr>
          <w:rFonts w:hint="eastAsia" w:ascii="宋体" w:hAnsi="宋体" w:eastAsia="宋体" w:cs="宋体"/>
          <w:sz w:val="24"/>
        </w:rPr>
        <w:t>（以下简称“受益人”）与</w:t>
      </w:r>
      <w:r>
        <w:rPr>
          <w:rFonts w:hint="eastAsia" w:ascii="宋体" w:hAnsi="宋体" w:eastAsia="宋体" w:cs="宋体"/>
          <w:sz w:val="24"/>
          <w:u w:val="single"/>
        </w:rPr>
        <w:t xml:space="preserve">         </w:t>
      </w:r>
      <w:r>
        <w:rPr>
          <w:rFonts w:hint="eastAsia" w:ascii="宋体" w:hAnsi="宋体" w:eastAsia="宋体" w:cs="宋体"/>
          <w:sz w:val="24"/>
        </w:rPr>
        <w:t>（以下简称“申请人”）于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日就</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（标段编号）的</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（标段名称）</w:t>
      </w:r>
      <w:r>
        <w:rPr>
          <w:rFonts w:hint="eastAsia" w:ascii="宋体" w:hAnsi="宋体" w:eastAsia="宋体" w:cs="宋体"/>
          <w:sz w:val="24"/>
        </w:rPr>
        <w:t>有关事项协商一致共同签订</w:t>
      </w:r>
      <w:r>
        <w:rPr>
          <w:rFonts w:hint="eastAsia" w:ascii="宋体" w:hAnsi="宋体" w:eastAsia="宋体" w:cs="宋体"/>
          <w:sz w:val="24"/>
          <w:u w:val="single"/>
        </w:rPr>
        <w:t>《        》</w:t>
      </w:r>
      <w:r>
        <w:rPr>
          <w:rFonts w:hint="eastAsia" w:ascii="宋体" w:hAnsi="宋体" w:eastAsia="宋体" w:cs="宋体"/>
          <w:sz w:val="24"/>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pPr>
        <w:spacing w:line="360" w:lineRule="auto"/>
        <w:ind w:firstLine="480"/>
        <w:rPr>
          <w:rFonts w:hint="eastAsia" w:ascii="宋体" w:hAnsi="宋体" w:eastAsia="宋体" w:cs="宋体"/>
          <w:sz w:val="24"/>
        </w:rPr>
      </w:pPr>
      <w:r>
        <w:rPr>
          <w:rFonts w:hint="eastAsia" w:ascii="宋体" w:hAnsi="宋体" w:eastAsia="宋体" w:cs="宋体"/>
          <w:sz w:val="24"/>
        </w:rPr>
        <w:t>一、本保函担保范围：承包人未按照基础合同的约定履行义务，应当向受益人承担的违约责任和赔偿因此造成的损失、利息、律师费、诉讼费用等实现债权的费用。</w:t>
      </w:r>
    </w:p>
    <w:p>
      <w:pPr>
        <w:spacing w:line="360" w:lineRule="auto"/>
        <w:ind w:firstLine="480"/>
        <w:rPr>
          <w:rFonts w:hint="eastAsia" w:ascii="宋体" w:hAnsi="宋体" w:eastAsia="宋体" w:cs="宋体"/>
          <w:sz w:val="24"/>
        </w:rPr>
      </w:pPr>
      <w:r>
        <w:rPr>
          <w:rFonts w:hint="eastAsia" w:ascii="宋体" w:hAnsi="宋体" w:eastAsia="宋体" w:cs="宋体"/>
          <w:sz w:val="24"/>
        </w:rPr>
        <w:t>二、本保函担保金额最高不超过人民币（大写）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三、本保函有效期自开立之日起至基础合同约定的缺陷责任期满之日止。 </w:t>
      </w:r>
    </w:p>
    <w:p>
      <w:pPr>
        <w:spacing w:line="400" w:lineRule="exact"/>
        <w:ind w:firstLine="480"/>
        <w:rPr>
          <w:rFonts w:hint="eastAsia" w:ascii="宋体" w:hAnsi="宋体" w:eastAsia="宋体" w:cs="宋体"/>
          <w:sz w:val="24"/>
        </w:rPr>
      </w:pPr>
      <w:bookmarkStart w:id="548" w:name="_Hlk40302764"/>
      <w:r>
        <w:rPr>
          <w:rFonts w:hint="eastAsia" w:ascii="宋体" w:hAnsi="宋体" w:eastAsia="宋体" w:cs="宋体"/>
          <w:sz w:val="24"/>
        </w:rPr>
        <w:t>四、开立人承诺，在收到受益人发来的书面付款通知后的七日内无条件支付，前述书面付款通知即为付款要求之单据，且应满足以下要求：</w:t>
      </w:r>
    </w:p>
    <w:bookmarkEnd w:id="548"/>
    <w:p>
      <w:pPr>
        <w:spacing w:line="360" w:lineRule="auto"/>
        <w:ind w:firstLine="480"/>
        <w:rPr>
          <w:rFonts w:hint="eastAsia" w:ascii="宋体" w:hAnsi="宋体" w:eastAsia="宋体" w:cs="宋体"/>
          <w:sz w:val="24"/>
        </w:rPr>
      </w:pPr>
      <w:r>
        <w:rPr>
          <w:rFonts w:hint="eastAsia" w:ascii="宋体" w:hAnsi="宋体" w:eastAsia="宋体" w:cs="宋体"/>
          <w:sz w:val="24"/>
        </w:rPr>
        <w:t>（1）付款通知到达的日期在本保函的有效期内；</w:t>
      </w:r>
    </w:p>
    <w:p>
      <w:pPr>
        <w:spacing w:line="360" w:lineRule="auto"/>
        <w:ind w:firstLine="480"/>
        <w:rPr>
          <w:rFonts w:hint="eastAsia" w:ascii="宋体" w:hAnsi="宋体" w:eastAsia="宋体" w:cs="宋体"/>
          <w:sz w:val="24"/>
        </w:rPr>
      </w:pPr>
      <w:r>
        <w:rPr>
          <w:rFonts w:hint="eastAsia" w:ascii="宋体" w:hAnsi="宋体" w:eastAsia="宋体" w:cs="宋体"/>
          <w:sz w:val="24"/>
        </w:rPr>
        <w:t>（2）载明要求支付的金额；</w:t>
      </w:r>
    </w:p>
    <w:p>
      <w:pPr>
        <w:spacing w:line="360" w:lineRule="auto"/>
        <w:ind w:firstLine="480"/>
        <w:rPr>
          <w:rFonts w:hint="eastAsia" w:ascii="宋体" w:hAnsi="宋体" w:eastAsia="宋体" w:cs="宋体"/>
          <w:sz w:val="24"/>
        </w:rPr>
      </w:pPr>
      <w:r>
        <w:rPr>
          <w:rFonts w:hint="eastAsia" w:ascii="宋体" w:hAnsi="宋体" w:eastAsia="宋体" w:cs="宋体"/>
          <w:sz w:val="24"/>
        </w:rPr>
        <w:t>（3）载明申请人违反合同义务的条款和内容；</w:t>
      </w:r>
    </w:p>
    <w:p>
      <w:pPr>
        <w:spacing w:line="360" w:lineRule="auto"/>
        <w:ind w:firstLine="480"/>
        <w:rPr>
          <w:rFonts w:hint="eastAsia" w:ascii="宋体" w:hAnsi="宋体" w:eastAsia="宋体" w:cs="宋体"/>
          <w:sz w:val="24"/>
        </w:rPr>
      </w:pPr>
      <w:r>
        <w:rPr>
          <w:rFonts w:hint="eastAsia" w:ascii="宋体" w:hAnsi="宋体" w:eastAsia="宋体" w:cs="宋体"/>
          <w:sz w:val="24"/>
        </w:rPr>
        <w:t>（4）声明不存在合同文件约定或我国法律规定免除申请人或开立人支付责任的情形；</w:t>
      </w:r>
    </w:p>
    <w:p>
      <w:pPr>
        <w:spacing w:line="360" w:lineRule="auto"/>
        <w:ind w:firstLine="480"/>
        <w:rPr>
          <w:rFonts w:hint="eastAsia" w:ascii="宋体" w:hAnsi="宋体" w:eastAsia="宋体" w:cs="宋体"/>
          <w:sz w:val="24"/>
        </w:rPr>
      </w:pPr>
      <w:r>
        <w:rPr>
          <w:rFonts w:hint="eastAsia" w:ascii="宋体" w:hAnsi="宋体" w:eastAsia="宋体" w:cs="宋体"/>
          <w:sz w:val="24"/>
        </w:rPr>
        <w:t>（5）付款通知应在本保函有效期内到达的地址是：</w:t>
      </w:r>
      <w:r>
        <w:rPr>
          <w:rFonts w:hint="eastAsia" w:ascii="宋体" w:hAnsi="宋体" w:eastAsia="宋体" w:cs="宋体"/>
          <w:sz w:val="24"/>
          <w:u w:val="single"/>
        </w:rPr>
        <w:t xml:space="preserve">             </w:t>
      </w:r>
      <w:r>
        <w:rPr>
          <w:rFonts w:hint="eastAsia" w:ascii="宋体" w:hAnsi="宋体" w:eastAsia="宋体" w:cs="宋体"/>
          <w:sz w:val="24"/>
        </w:rPr>
        <w:t>。</w:t>
      </w:r>
    </w:p>
    <w:p>
      <w:pPr>
        <w:spacing w:line="400" w:lineRule="exact"/>
        <w:ind w:firstLine="480"/>
        <w:rPr>
          <w:rFonts w:hint="eastAsia" w:ascii="宋体" w:hAnsi="宋体" w:eastAsia="宋体" w:cs="宋体"/>
          <w:sz w:val="24"/>
        </w:rPr>
      </w:pPr>
      <w:r>
        <w:rPr>
          <w:rFonts w:hint="eastAsia" w:ascii="宋体" w:hAnsi="宋体" w:eastAsia="宋体" w:cs="宋体"/>
          <w:sz w:val="24"/>
        </w:rPr>
        <w:t xml:space="preserve">    </w:t>
      </w:r>
      <w:bookmarkStart w:id="549" w:name="_Hlk40303486"/>
      <w:r>
        <w:rPr>
          <w:rFonts w:hint="eastAsia" w:ascii="宋体" w:hAnsi="宋体" w:eastAsia="宋体" w:cs="宋体"/>
          <w:sz w:val="24"/>
        </w:rPr>
        <w:t>受益人发出的书面付款通知应由其法定代表人（负责人）或授权代理人签字并加盖公章。</w:t>
      </w:r>
      <w:bookmarkEnd w:id="549"/>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五、本保函项下的权利不得转让，不得设定担保。受益人未经我方书面同意转让本保函或其项下任何权利，对我方不发生法律效力。 </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六、与本保函有关的基础合同不成立、不生效、无效、被撤销、被解除，不影响本保函的独立有效。 </w:t>
      </w:r>
    </w:p>
    <w:p>
      <w:pPr>
        <w:spacing w:line="400" w:lineRule="exact"/>
        <w:ind w:firstLine="480"/>
        <w:rPr>
          <w:rFonts w:hint="eastAsia" w:ascii="宋体" w:hAnsi="宋体" w:eastAsia="宋体" w:cs="宋体"/>
          <w:sz w:val="24"/>
        </w:rPr>
      </w:pPr>
      <w:bookmarkStart w:id="550" w:name="_Hlk40303383"/>
      <w:bookmarkStart w:id="551" w:name="_Hlk40354981"/>
      <w:r>
        <w:rPr>
          <w:rFonts w:hint="eastAsia" w:ascii="宋体" w:hAnsi="宋体" w:eastAsia="宋体" w:cs="宋体"/>
          <w:sz w:val="24"/>
        </w:rPr>
        <w:t xml:space="preserve">七、本保函项下的义务和责任均在保函有效期到期后自动消灭。 </w:t>
      </w:r>
    </w:p>
    <w:p>
      <w:pPr>
        <w:spacing w:line="400" w:lineRule="exact"/>
        <w:ind w:firstLine="480"/>
        <w:rPr>
          <w:rFonts w:hint="eastAsia" w:ascii="宋体" w:hAnsi="宋体" w:eastAsia="宋体" w:cs="宋体"/>
          <w:sz w:val="24"/>
        </w:rPr>
      </w:pPr>
      <w:r>
        <w:rPr>
          <w:rFonts w:hint="eastAsia" w:ascii="宋体" w:hAnsi="宋体" w:eastAsia="宋体" w:cs="宋体"/>
          <w:sz w:val="24"/>
        </w:rPr>
        <w:t>八、本保函适用的法律为中华人民共和国法律，因本保函产生的纠纷案件，</w:t>
      </w:r>
      <w:bookmarkEnd w:id="550"/>
      <w:r>
        <w:rPr>
          <w:rFonts w:hint="eastAsia" w:ascii="宋体" w:hAnsi="宋体" w:eastAsia="宋体" w:cs="宋体"/>
          <w:sz w:val="24"/>
        </w:rPr>
        <w:t xml:space="preserve">由受益人所在地人民法院管辖。 </w:t>
      </w:r>
    </w:p>
    <w:bookmarkEnd w:id="551"/>
    <w:p>
      <w:pPr>
        <w:spacing w:line="360" w:lineRule="auto"/>
        <w:ind w:firstLine="480"/>
        <w:rPr>
          <w:rFonts w:hint="eastAsia" w:ascii="宋体" w:hAnsi="宋体" w:eastAsia="宋体" w:cs="宋体"/>
          <w:sz w:val="24"/>
        </w:rPr>
      </w:pPr>
      <w:r>
        <w:rPr>
          <w:rFonts w:hint="eastAsia" w:ascii="宋体" w:hAnsi="宋体" w:eastAsia="宋体" w:cs="宋体"/>
          <w:sz w:val="24"/>
        </w:rPr>
        <w:t xml:space="preserve">九、本保函自我方法定代表人或授权代表签字并加盖公章之日起生效。 </w:t>
      </w: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r>
        <w:rPr>
          <w:rFonts w:hint="eastAsia" w:ascii="宋体" w:hAnsi="宋体" w:eastAsia="宋体" w:cs="宋体"/>
          <w:sz w:val="24"/>
        </w:rPr>
        <w:t>开 立 人：</w:t>
      </w:r>
      <w:r>
        <w:rPr>
          <w:rFonts w:hint="eastAsia" w:ascii="宋体" w:hAnsi="宋体" w:eastAsia="宋体" w:cs="宋体"/>
          <w:sz w:val="24"/>
          <w:u w:val="single"/>
        </w:rPr>
        <w:t xml:space="preserve">                              </w:t>
      </w:r>
      <w:r>
        <w:rPr>
          <w:rFonts w:hint="eastAsia" w:ascii="宋体" w:hAnsi="宋体" w:eastAsia="宋体" w:cs="宋体"/>
          <w:sz w:val="24"/>
        </w:rPr>
        <w:t xml:space="preserve">（公章） </w:t>
      </w:r>
    </w:p>
    <w:p>
      <w:pPr>
        <w:spacing w:line="360" w:lineRule="auto"/>
        <w:ind w:firstLine="480"/>
        <w:rPr>
          <w:rFonts w:hint="eastAsia" w:ascii="宋体" w:hAnsi="宋体" w:eastAsia="宋体" w:cs="宋体"/>
          <w:sz w:val="24"/>
        </w:rPr>
      </w:pPr>
      <w:r>
        <w:rPr>
          <w:rFonts w:hint="eastAsia" w:ascii="宋体" w:hAnsi="宋体" w:eastAsia="宋体" w:cs="宋体"/>
          <w:sz w:val="24"/>
        </w:rPr>
        <w:t>法定代表人（或授权代表）：</w:t>
      </w:r>
      <w:r>
        <w:rPr>
          <w:rFonts w:hint="eastAsia" w:ascii="宋体" w:hAnsi="宋体" w:eastAsia="宋体" w:cs="宋体"/>
          <w:sz w:val="24"/>
          <w:u w:val="single"/>
        </w:rPr>
        <w:t xml:space="preserve">               </w:t>
      </w:r>
      <w:r>
        <w:rPr>
          <w:rFonts w:hint="eastAsia" w:ascii="宋体" w:hAnsi="宋体" w:eastAsia="宋体" w:cs="宋体"/>
          <w:sz w:val="24"/>
        </w:rPr>
        <w:t xml:space="preserve">（签字） </w:t>
      </w:r>
    </w:p>
    <w:p>
      <w:pPr>
        <w:spacing w:line="360" w:lineRule="auto"/>
        <w:ind w:firstLine="48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360" w:lineRule="auto"/>
        <w:ind w:firstLine="480"/>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360" w:lineRule="auto"/>
        <w:ind w:left="1452" w:leftChars="200" w:hanging="1032" w:hangingChars="430"/>
        <w:rPr>
          <w:rFonts w:ascii="仿宋" w:hAnsi="仿宋" w:eastAsia="仿宋"/>
          <w:sz w:val="32"/>
          <w:szCs w:val="32"/>
        </w:rPr>
      </w:pPr>
      <w:r>
        <w:rPr>
          <w:rFonts w:hint="eastAsia" w:ascii="宋体" w:hAnsi="宋体" w:eastAsia="宋体" w:cs="宋体"/>
          <w:sz w:val="24"/>
        </w:rPr>
        <w:t>开立时间：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00" w:lineRule="atLeast"/>
        <w:ind w:firstLine="0" w:firstLineChars="0"/>
        <w:rPr>
          <w:rFonts w:eastAsia="黑体"/>
          <w:sz w:val="24"/>
        </w:rPr>
      </w:pPr>
      <w:r>
        <w:rPr>
          <w:rFonts w:hint="eastAsia" w:eastAsia="黑体"/>
          <w:sz w:val="24"/>
        </w:rPr>
        <w:t>注：允许投标人实际开具的银行保函的格式与本文件提供的格式有所不同，但不得更改本文件提供的银行保函格式中的实质性内容。</w:t>
      </w:r>
    </w:p>
    <w:p>
      <w:pPr>
        <w:widowControl/>
        <w:ind w:firstLine="0" w:firstLineChars="0"/>
        <w:jc w:val="left"/>
        <w:rPr>
          <w:rFonts w:eastAsia="黑体"/>
          <w:bCs/>
          <w:kern w:val="44"/>
          <w:sz w:val="24"/>
        </w:rPr>
      </w:pPr>
      <w:bookmarkStart w:id="552" w:name="_Toc26657072"/>
      <w:bookmarkStart w:id="553" w:name="_Toc234833238"/>
      <w:bookmarkStart w:id="554" w:name="_Toc501257464"/>
      <w:bookmarkStart w:id="555" w:name="_Toc14201399"/>
      <w:r>
        <w:rPr>
          <w:rFonts w:eastAsia="黑体"/>
          <w:bCs/>
          <w:kern w:val="44"/>
          <w:sz w:val="24"/>
        </w:rPr>
        <w:br w:type="page"/>
      </w:r>
    </w:p>
    <w:p>
      <w:pPr>
        <w:keepNext/>
        <w:keepLines/>
        <w:spacing w:line="380" w:lineRule="atLeast"/>
        <w:ind w:firstLine="0" w:firstLineChars="0"/>
        <w:outlineLvl w:val="0"/>
        <w:rPr>
          <w:rFonts w:eastAsia="黑体"/>
          <w:bCs/>
          <w:kern w:val="44"/>
          <w:sz w:val="24"/>
        </w:rPr>
      </w:pPr>
      <w:bookmarkStart w:id="556" w:name="_Toc98148193"/>
      <w:bookmarkStart w:id="557" w:name="_Toc131087915"/>
      <w:bookmarkStart w:id="558" w:name="_Toc138689439"/>
      <w:r>
        <w:rPr>
          <w:rFonts w:eastAsia="黑体"/>
          <w:bCs/>
          <w:kern w:val="44"/>
          <w:sz w:val="24"/>
        </w:rPr>
        <w:t>附件</w:t>
      </w:r>
      <w:r>
        <w:rPr>
          <w:rFonts w:hint="eastAsia" w:eastAsia="黑体"/>
          <w:bCs/>
          <w:kern w:val="44"/>
          <w:sz w:val="24"/>
        </w:rPr>
        <w:t xml:space="preserve">八 </w:t>
      </w:r>
      <w:r>
        <w:rPr>
          <w:rFonts w:eastAsia="黑体"/>
          <w:bCs/>
          <w:kern w:val="44"/>
          <w:sz w:val="24"/>
        </w:rPr>
        <w:t>工程资金监管协议格式</w:t>
      </w:r>
      <w:bookmarkEnd w:id="552"/>
      <w:bookmarkEnd w:id="553"/>
      <w:bookmarkEnd w:id="554"/>
      <w:bookmarkEnd w:id="555"/>
      <w:bookmarkEnd w:id="556"/>
      <w:bookmarkEnd w:id="557"/>
      <w:bookmarkEnd w:id="558"/>
    </w:p>
    <w:p>
      <w:pPr>
        <w:spacing w:line="360" w:lineRule="auto"/>
        <w:ind w:firstLine="480"/>
        <w:rPr>
          <w:sz w:val="24"/>
        </w:rPr>
      </w:pPr>
      <w:r>
        <w:rPr>
          <w:sz w:val="24"/>
        </w:rPr>
        <w:t>（发包人与承包人签订合同协议书时应与发包人指定的银行签署工程资金监管协议，工程资金监管协议内容在保证本项目资金有效监管的前提下由三方共同商定）</w:t>
      </w:r>
    </w:p>
    <w:p>
      <w:pPr>
        <w:spacing w:line="360" w:lineRule="auto"/>
        <w:ind w:firstLineChars="0"/>
        <w:rPr>
          <w:sz w:val="24"/>
        </w:rPr>
      </w:pPr>
    </w:p>
    <w:p>
      <w:pPr>
        <w:spacing w:line="360" w:lineRule="auto"/>
        <w:ind w:firstLineChars="0"/>
        <w:jc w:val="center"/>
        <w:rPr>
          <w:sz w:val="24"/>
        </w:rPr>
      </w:pPr>
      <w:r>
        <w:rPr>
          <w:sz w:val="24"/>
        </w:rPr>
        <w:t>工程资金监管协议</w:t>
      </w:r>
    </w:p>
    <w:p>
      <w:pPr>
        <w:spacing w:line="360" w:lineRule="auto"/>
        <w:ind w:firstLineChars="0"/>
        <w:jc w:val="center"/>
        <w:rPr>
          <w:sz w:val="24"/>
        </w:rPr>
      </w:pPr>
    </w:p>
    <w:p>
      <w:pPr>
        <w:spacing w:line="360" w:lineRule="auto"/>
        <w:ind w:firstLineChars="0"/>
        <w:rPr>
          <w:rFonts w:ascii="宋体" w:hAnsi="宋体" w:cs="宋体"/>
          <w:sz w:val="24"/>
        </w:rPr>
      </w:pPr>
      <w:bookmarkStart w:id="559" w:name="_Toc234833239"/>
      <w:r>
        <w:rPr>
          <w:sz w:val="24"/>
        </w:rPr>
        <w:t>发包人：</w:t>
      </w:r>
      <w:r>
        <w:rPr>
          <w:sz w:val="24"/>
          <w:u w:val="single"/>
        </w:rPr>
        <w:t xml:space="preserve">      </w:t>
      </w:r>
      <w:r>
        <w:rPr>
          <w:sz w:val="24"/>
        </w:rPr>
        <w:t>（以下简</w:t>
      </w:r>
      <w:r>
        <w:rPr>
          <w:rFonts w:hint="eastAsia" w:ascii="宋体" w:hAnsi="宋体" w:cs="宋体"/>
          <w:sz w:val="24"/>
        </w:rPr>
        <w:t>称“甲方”）</w:t>
      </w:r>
      <w:bookmarkEnd w:id="559"/>
    </w:p>
    <w:p>
      <w:pPr>
        <w:spacing w:line="360" w:lineRule="auto"/>
        <w:ind w:firstLineChars="0"/>
        <w:rPr>
          <w:rFonts w:ascii="宋体" w:hAnsi="宋体" w:cs="宋体"/>
          <w:sz w:val="24"/>
        </w:rPr>
      </w:pPr>
      <w:r>
        <w:rPr>
          <w:rFonts w:hint="eastAsia" w:ascii="宋体" w:hAnsi="宋体" w:cs="宋体"/>
          <w:sz w:val="24"/>
        </w:rPr>
        <w:t>承包人：</w:t>
      </w:r>
      <w:r>
        <w:rPr>
          <w:rFonts w:hint="eastAsia" w:ascii="宋体" w:hAnsi="宋体" w:cs="宋体"/>
          <w:sz w:val="24"/>
          <w:u w:val="single"/>
        </w:rPr>
        <w:t xml:space="preserve">      </w:t>
      </w:r>
      <w:r>
        <w:rPr>
          <w:rFonts w:hint="eastAsia" w:ascii="宋体" w:hAnsi="宋体" w:cs="宋体"/>
          <w:sz w:val="24"/>
        </w:rPr>
        <w:t>（以下简称“乙方”）</w:t>
      </w:r>
    </w:p>
    <w:p>
      <w:pPr>
        <w:spacing w:line="360" w:lineRule="auto"/>
        <w:ind w:firstLineChars="0"/>
        <w:rPr>
          <w:rFonts w:ascii="宋体" w:hAnsi="宋体" w:cs="宋体"/>
          <w:sz w:val="24"/>
        </w:rPr>
      </w:pPr>
      <w:r>
        <w:rPr>
          <w:rFonts w:hint="eastAsia" w:ascii="宋体" w:hAnsi="宋体" w:cs="宋体"/>
          <w:sz w:val="24"/>
        </w:rPr>
        <w:t>经办银行：</w:t>
      </w:r>
      <w:r>
        <w:rPr>
          <w:rFonts w:hint="eastAsia" w:ascii="宋体" w:hAnsi="宋体" w:cs="宋体"/>
          <w:sz w:val="24"/>
          <w:u w:val="single"/>
        </w:rPr>
        <w:t xml:space="preserve">      </w:t>
      </w:r>
      <w:r>
        <w:rPr>
          <w:rFonts w:hint="eastAsia" w:ascii="宋体" w:hAnsi="宋体" w:cs="宋体"/>
          <w:sz w:val="24"/>
        </w:rPr>
        <w:t>（以下简称“丙方”）</w:t>
      </w:r>
    </w:p>
    <w:p>
      <w:pPr>
        <w:spacing w:line="360" w:lineRule="auto"/>
        <w:ind w:firstLineChars="0"/>
        <w:jc w:val="left"/>
        <w:rPr>
          <w:sz w:val="24"/>
        </w:rPr>
      </w:pPr>
    </w:p>
    <w:p>
      <w:pPr>
        <w:spacing w:line="360" w:lineRule="auto"/>
        <w:ind w:firstLine="480"/>
        <w:rPr>
          <w:sz w:val="24"/>
        </w:rPr>
      </w:pPr>
      <w:r>
        <w:rPr>
          <w:sz w:val="24"/>
        </w:rPr>
        <w:t>为了促进</w:t>
      </w:r>
      <w:r>
        <w:rPr>
          <w:sz w:val="24"/>
          <w:u w:val="single"/>
        </w:rPr>
        <w:t xml:space="preserve">      </w:t>
      </w:r>
      <w:r>
        <w:rPr>
          <w:sz w:val="24"/>
        </w:rPr>
        <w:t>（招标项目名称）的顺利实施，管好用好建设资金，确保工程资金专款专用，同时为承包人提供便捷有效的银行业务服务，根据</w:t>
      </w:r>
      <w:r>
        <w:rPr>
          <w:sz w:val="24"/>
          <w:u w:val="single"/>
        </w:rPr>
        <w:t xml:space="preserve">      </w:t>
      </w:r>
      <w:r>
        <w:rPr>
          <w:sz w:val="24"/>
        </w:rPr>
        <w:t>（招标项目名称）合同条款有关规定，经甲、乙、丙三方协商，达成协议如下：</w:t>
      </w:r>
    </w:p>
    <w:p>
      <w:pPr>
        <w:spacing w:line="360" w:lineRule="auto"/>
        <w:ind w:firstLine="480"/>
        <w:rPr>
          <w:sz w:val="24"/>
        </w:rPr>
      </w:pPr>
      <w:r>
        <w:rPr>
          <w:sz w:val="24"/>
        </w:rPr>
        <w:t>1. 资金管理的内容</w:t>
      </w:r>
    </w:p>
    <w:p>
      <w:pPr>
        <w:spacing w:line="360" w:lineRule="auto"/>
        <w:ind w:firstLine="480"/>
        <w:rPr>
          <w:sz w:val="24"/>
        </w:rPr>
      </w:pPr>
      <w:r>
        <w:rPr>
          <w:sz w:val="24"/>
        </w:rPr>
        <w:t>（1）乙方为完成</w:t>
      </w:r>
      <w:r>
        <w:rPr>
          <w:sz w:val="24"/>
          <w:u w:val="single"/>
        </w:rPr>
        <w:t xml:space="preserve">      </w:t>
      </w:r>
      <w:r>
        <w:rPr>
          <w:sz w:val="24"/>
        </w:rPr>
        <w:t>（招标项目名称）工程成立的项目经理部在丙方开设基本结算户；</w:t>
      </w:r>
    </w:p>
    <w:p>
      <w:pPr>
        <w:spacing w:line="360" w:lineRule="auto"/>
        <w:ind w:firstLine="480"/>
        <w:rPr>
          <w:sz w:val="24"/>
        </w:rPr>
      </w:pPr>
      <w:r>
        <w:rPr>
          <w:sz w:val="24"/>
        </w:rPr>
        <w:t>（2）甲方应按合同规定将工程款汇入乙方在丙方开设的账户；</w:t>
      </w:r>
    </w:p>
    <w:p>
      <w:pPr>
        <w:spacing w:line="360" w:lineRule="auto"/>
        <w:ind w:firstLine="480"/>
        <w:rPr>
          <w:sz w:val="24"/>
        </w:rPr>
      </w:pPr>
      <w:r>
        <w:rPr>
          <w:sz w:val="24"/>
        </w:rPr>
        <w:t>（3）乙方应将流动资金及甲方所拨付资金专项用于</w:t>
      </w:r>
      <w:r>
        <w:rPr>
          <w:sz w:val="24"/>
          <w:u w:val="single"/>
        </w:rPr>
        <w:t xml:space="preserve">      </w:t>
      </w:r>
      <w:r>
        <w:rPr>
          <w:sz w:val="24"/>
        </w:rPr>
        <w:t>（招标项目名称）；</w:t>
      </w:r>
    </w:p>
    <w:p>
      <w:pPr>
        <w:spacing w:line="360" w:lineRule="auto"/>
        <w:ind w:firstLine="480"/>
        <w:rPr>
          <w:sz w:val="24"/>
        </w:rPr>
      </w:pPr>
      <w:r>
        <w:rPr>
          <w:sz w:val="24"/>
        </w:rPr>
        <w:t>（4）丙方应为乙方提供便捷有效的银行业务服务，并接受甲方委托对乙方在丙方开设的基本结算户资金使用情况进行监督。</w:t>
      </w:r>
    </w:p>
    <w:p>
      <w:pPr>
        <w:spacing w:line="360" w:lineRule="auto"/>
        <w:ind w:firstLine="480"/>
        <w:rPr>
          <w:sz w:val="24"/>
        </w:rPr>
      </w:pPr>
      <w:r>
        <w:rPr>
          <w:sz w:val="24"/>
        </w:rPr>
        <w:t>2. 甲方的权责</w:t>
      </w:r>
    </w:p>
    <w:p>
      <w:pPr>
        <w:spacing w:line="360" w:lineRule="auto"/>
        <w:ind w:firstLine="480"/>
        <w:rPr>
          <w:sz w:val="24"/>
        </w:rPr>
      </w:pPr>
      <w:r>
        <w:rPr>
          <w:sz w:val="24"/>
        </w:rPr>
        <w:t>（1）按照</w:t>
      </w:r>
      <w:r>
        <w:rPr>
          <w:sz w:val="24"/>
          <w:u w:val="single"/>
        </w:rPr>
        <w:t xml:space="preserve">      </w:t>
      </w:r>
      <w:r>
        <w:rPr>
          <w:sz w:val="24"/>
        </w:rPr>
        <w:t>（招标项目名称）合同有关条款规定的时间和方式，向乙方支付工程款；</w:t>
      </w:r>
    </w:p>
    <w:p>
      <w:pPr>
        <w:spacing w:line="360" w:lineRule="auto"/>
        <w:ind w:firstLine="480"/>
        <w:rPr>
          <w:sz w:val="24"/>
        </w:rPr>
      </w:pPr>
      <w:r>
        <w:rPr>
          <w:sz w:val="24"/>
        </w:rPr>
        <w:t>（2）在发现乙方将本项目资金挪用、转移时，甲方有权中止工程支付，直至乙方改正为止；</w:t>
      </w:r>
    </w:p>
    <w:p>
      <w:pPr>
        <w:spacing w:line="360" w:lineRule="auto"/>
        <w:ind w:firstLine="480"/>
        <w:rPr>
          <w:sz w:val="24"/>
        </w:rPr>
      </w:pPr>
      <w:r>
        <w:rPr>
          <w:sz w:val="24"/>
        </w:rPr>
        <w:t>（3）不定期审查丙方对乙方的资金使用监督情况，如丙方不能履行其责任，甲方有权随时终止本协议；</w:t>
      </w:r>
    </w:p>
    <w:p>
      <w:pPr>
        <w:spacing w:line="360" w:lineRule="auto"/>
        <w:ind w:firstLine="480"/>
        <w:rPr>
          <w:sz w:val="24"/>
        </w:rPr>
      </w:pPr>
      <w:r>
        <w:rPr>
          <w:sz w:val="24"/>
        </w:rPr>
        <w:t>（4）在乙、丙双方发生争议时，甲方应负责协调、解决。</w:t>
      </w:r>
    </w:p>
    <w:p>
      <w:pPr>
        <w:spacing w:line="360" w:lineRule="auto"/>
        <w:ind w:firstLine="480"/>
        <w:rPr>
          <w:sz w:val="24"/>
        </w:rPr>
      </w:pPr>
      <w:r>
        <w:rPr>
          <w:sz w:val="24"/>
        </w:rPr>
        <w:t>3. 乙方的权责</w:t>
      </w:r>
    </w:p>
    <w:p>
      <w:pPr>
        <w:spacing w:line="360" w:lineRule="auto"/>
        <w:ind w:firstLine="480"/>
        <w:rPr>
          <w:sz w:val="24"/>
        </w:rPr>
      </w:pPr>
      <w:r>
        <w:rPr>
          <w:sz w:val="24"/>
        </w:rPr>
        <w:t>（1）项目经理部成立以后，乙方应尽快在丙方开设基本结算户；</w:t>
      </w:r>
    </w:p>
    <w:p>
      <w:pPr>
        <w:spacing w:line="360" w:lineRule="auto"/>
        <w:ind w:firstLine="480"/>
        <w:rPr>
          <w:sz w:val="24"/>
        </w:rPr>
      </w:pPr>
      <w:r>
        <w:rPr>
          <w:sz w:val="24"/>
        </w:rPr>
        <w:t>（2）确保本项目资金专款专用，不发生挪用、转移资金的现象；保证不通过权益转让、抵押、担保承担债务等任何其他方式使用基本结算</w:t>
      </w:r>
      <w:r>
        <w:rPr>
          <w:rFonts w:hint="eastAsia"/>
          <w:sz w:val="24"/>
        </w:rPr>
        <w:t>账户</w:t>
      </w:r>
      <w:r>
        <w:rPr>
          <w:sz w:val="24"/>
        </w:rPr>
        <w:t>的资金；</w:t>
      </w:r>
    </w:p>
    <w:p>
      <w:pPr>
        <w:spacing w:line="360" w:lineRule="auto"/>
        <w:ind w:firstLine="480"/>
        <w:rPr>
          <w:sz w:val="24"/>
        </w:rPr>
      </w:pPr>
      <w:r>
        <w:rPr>
          <w:sz w:val="24"/>
        </w:rPr>
        <w:t>（3）办理材料、设备等采购业务金额在</w:t>
      </w:r>
      <w:r>
        <w:rPr>
          <w:sz w:val="24"/>
          <w:u w:val="single"/>
        </w:rPr>
        <w:t xml:space="preserve">      </w:t>
      </w:r>
      <w:r>
        <w:rPr>
          <w:sz w:val="24"/>
        </w:rPr>
        <w:t>万元以上的，应出示购货合同、协议和发票；在办理总额超过</w:t>
      </w:r>
      <w:r>
        <w:rPr>
          <w:sz w:val="24"/>
          <w:u w:val="single"/>
        </w:rPr>
        <w:t xml:space="preserve">      </w:t>
      </w:r>
      <w:r>
        <w:rPr>
          <w:sz w:val="24"/>
        </w:rPr>
        <w:t>万元以上的采购业务时，应将合同、协议和发票复印件送丙方备案；购买应急材料、设备时可先办理支付手续，但事后必须补备有关资料；</w:t>
      </w:r>
    </w:p>
    <w:p>
      <w:pPr>
        <w:spacing w:line="360" w:lineRule="auto"/>
        <w:ind w:firstLine="480"/>
        <w:rPr>
          <w:sz w:val="24"/>
        </w:rPr>
      </w:pPr>
      <w:r>
        <w:rPr>
          <w:sz w:val="24"/>
        </w:rPr>
        <w:t>（4）用银行转账支票办理支付款项时，必须将转账支票送交丙方，由丙方负责办理支票转付手续；</w:t>
      </w:r>
    </w:p>
    <w:p>
      <w:pPr>
        <w:spacing w:line="360" w:lineRule="auto"/>
        <w:ind w:firstLine="480"/>
        <w:rPr>
          <w:sz w:val="24"/>
        </w:rPr>
      </w:pPr>
      <w:r>
        <w:rPr>
          <w:sz w:val="24"/>
        </w:rPr>
        <w:t>（5）向分包单位支付工程进度款时，应附甲方批准分包的文件；</w:t>
      </w:r>
    </w:p>
    <w:p>
      <w:pPr>
        <w:spacing w:line="360" w:lineRule="auto"/>
        <w:ind w:firstLine="480"/>
        <w:rPr>
          <w:sz w:val="24"/>
        </w:rPr>
      </w:pPr>
      <w:r>
        <w:rPr>
          <w:sz w:val="24"/>
        </w:rPr>
        <w:t>（6）向上级单位缴纳管理费、机械设备及周转材料租赁摊销费等款项时，应附上级单位出具的转账通知等有关资料，以确保资金专款专用。</w:t>
      </w:r>
    </w:p>
    <w:p>
      <w:pPr>
        <w:spacing w:line="360" w:lineRule="auto"/>
        <w:ind w:firstLine="480"/>
        <w:rPr>
          <w:sz w:val="24"/>
        </w:rPr>
      </w:pPr>
      <w:r>
        <w:rPr>
          <w:sz w:val="24"/>
        </w:rPr>
        <w:t>4. 丙方的权责</w:t>
      </w:r>
    </w:p>
    <w:p>
      <w:pPr>
        <w:spacing w:line="360" w:lineRule="auto"/>
        <w:ind w:firstLine="480"/>
        <w:rPr>
          <w:sz w:val="24"/>
        </w:rPr>
      </w:pPr>
      <w:r>
        <w:rPr>
          <w:sz w:val="24"/>
        </w:rPr>
        <w:t>（1）成立</w:t>
      </w:r>
      <w:r>
        <w:rPr>
          <w:sz w:val="24"/>
          <w:u w:val="single"/>
        </w:rPr>
        <w:t xml:space="preserve">      </w:t>
      </w:r>
      <w:r>
        <w:rPr>
          <w:sz w:val="24"/>
        </w:rPr>
        <w:t>（招标项目名称）工程资金管理服务小组，明确业务流程，提高工作效率，</w:t>
      </w:r>
      <w:r>
        <w:rPr>
          <w:rFonts w:hint="eastAsia" w:ascii="宋体" w:hAnsi="宋体" w:cs="宋体"/>
          <w:sz w:val="24"/>
        </w:rPr>
        <w:t>杜绝“压票”</w:t>
      </w:r>
      <w:r>
        <w:rPr>
          <w:sz w:val="24"/>
        </w:rPr>
        <w:t>现象；</w:t>
      </w:r>
    </w:p>
    <w:p>
      <w:pPr>
        <w:spacing w:line="360" w:lineRule="auto"/>
        <w:ind w:firstLine="480"/>
        <w:rPr>
          <w:sz w:val="24"/>
        </w:rPr>
      </w:pPr>
      <w:r>
        <w:rPr>
          <w:sz w:val="24"/>
        </w:rPr>
        <w:t>（2）</w:t>
      </w:r>
      <w:r>
        <w:rPr>
          <w:spacing w:val="-6"/>
          <w:sz w:val="24"/>
        </w:rPr>
        <w:t>根据乙方提供的购货合同、协议和发票，检查其所购材料、设备是否用于</w:t>
      </w:r>
      <w:r>
        <w:rPr>
          <w:spacing w:val="-6"/>
          <w:sz w:val="24"/>
          <w:u w:val="single"/>
        </w:rPr>
        <w:t xml:space="preserve">   </w:t>
      </w:r>
      <w:r>
        <w:rPr>
          <w:sz w:val="24"/>
        </w:rPr>
        <w:t>（项目名称）工程建设，对本标段以外的购货款项，有权拒绝办理，并及时报告甲方；</w:t>
      </w:r>
    </w:p>
    <w:p>
      <w:pPr>
        <w:spacing w:line="360" w:lineRule="auto"/>
        <w:ind w:firstLine="480"/>
        <w:rPr>
          <w:sz w:val="24"/>
        </w:rPr>
      </w:pPr>
      <w:r>
        <w:rPr>
          <w:sz w:val="24"/>
        </w:rPr>
        <w:t>（3）根据乙方与分包单位签订的合同及支付文件，检查其支付款项是否符合有关条件，向分包单位以外单位的支付有权拒绝办理，并及时报告甲方；</w:t>
      </w:r>
    </w:p>
    <w:p>
      <w:pPr>
        <w:spacing w:line="360" w:lineRule="auto"/>
        <w:ind w:firstLine="480"/>
        <w:rPr>
          <w:sz w:val="24"/>
        </w:rPr>
      </w:pPr>
      <w:r>
        <w:rPr>
          <w:sz w:val="24"/>
        </w:rPr>
        <w:t>（4）根据乙方提供的上级单位出具的转账通知等有关资料，办理管理费、机械设备及周转材料租赁摊销费等款项的支付；对超出转账通知等有关资料以外的支付，有权拒绝办理，并及时报告甲方；</w:t>
      </w:r>
    </w:p>
    <w:p>
      <w:pPr>
        <w:spacing w:line="360" w:lineRule="auto"/>
        <w:ind w:firstLine="480"/>
        <w:rPr>
          <w:sz w:val="24"/>
        </w:rPr>
      </w:pPr>
      <w:r>
        <w:rPr>
          <w:sz w:val="24"/>
        </w:rPr>
        <w:t>（5）定期将乙方前一个周期的支付情况，整理后书面报送甲方；乙方复印备案的材料一并送甲方。</w:t>
      </w:r>
    </w:p>
    <w:p>
      <w:pPr>
        <w:spacing w:line="360" w:lineRule="auto"/>
        <w:ind w:firstLine="480"/>
        <w:rPr>
          <w:sz w:val="24"/>
        </w:rPr>
      </w:pPr>
      <w:r>
        <w:rPr>
          <w:sz w:val="24"/>
        </w:rPr>
        <w:t>5. 甲、乙、丙三方都应履行保密责任，不得将其他两方的业务情况透露给三方以外的其他单位或个人。</w:t>
      </w:r>
    </w:p>
    <w:p>
      <w:pPr>
        <w:spacing w:line="360" w:lineRule="auto"/>
        <w:ind w:firstLine="480"/>
        <w:rPr>
          <w:sz w:val="24"/>
        </w:rPr>
      </w:pPr>
      <w:r>
        <w:rPr>
          <w:sz w:val="24"/>
        </w:rPr>
        <w:t>6. 本协议有效期自乙方在丙方开户起，至工程交工验收甲方向乙方颁发交工验收证书后结束。</w:t>
      </w:r>
    </w:p>
    <w:p>
      <w:pPr>
        <w:spacing w:line="360" w:lineRule="auto"/>
        <w:ind w:firstLine="480"/>
        <w:rPr>
          <w:sz w:val="24"/>
        </w:rPr>
      </w:pPr>
      <w:r>
        <w:rPr>
          <w:sz w:val="24"/>
        </w:rPr>
        <w:t>7. 本协议未尽事宜，由甲方牵头，三方协商解决。</w:t>
      </w:r>
    </w:p>
    <w:p>
      <w:pPr>
        <w:spacing w:line="360" w:lineRule="auto"/>
        <w:ind w:firstLine="480"/>
        <w:rPr>
          <w:sz w:val="24"/>
        </w:rPr>
      </w:pPr>
      <w:r>
        <w:rPr>
          <w:sz w:val="24"/>
        </w:rPr>
        <w:t>8. 本协议正本三份、副本</w:t>
      </w:r>
      <w:r>
        <w:rPr>
          <w:sz w:val="24"/>
          <w:u w:val="single"/>
        </w:rPr>
        <w:t xml:space="preserve">      </w:t>
      </w:r>
      <w:r>
        <w:rPr>
          <w:sz w:val="24"/>
        </w:rPr>
        <w:t>份。合同三方各执正本一份、副本</w:t>
      </w:r>
      <w:r>
        <w:rPr>
          <w:sz w:val="24"/>
          <w:u w:val="single"/>
        </w:rPr>
        <w:t xml:space="preserve">      </w:t>
      </w:r>
      <w:r>
        <w:rPr>
          <w:sz w:val="24"/>
        </w:rPr>
        <w:t>份，当正本与副本内容不一致时，以正本为准。</w:t>
      </w:r>
    </w:p>
    <w:p>
      <w:pPr>
        <w:spacing w:line="360" w:lineRule="auto"/>
        <w:ind w:firstLine="480"/>
        <w:rPr>
          <w:sz w:val="24"/>
        </w:rPr>
      </w:pPr>
    </w:p>
    <w:p>
      <w:pPr>
        <w:spacing w:line="360" w:lineRule="auto"/>
        <w:ind w:firstLineChars="0"/>
        <w:jc w:val="right"/>
        <w:rPr>
          <w:sz w:val="24"/>
        </w:rPr>
      </w:pPr>
      <w:r>
        <w:rPr>
          <w:sz w:val="24"/>
        </w:rPr>
        <w:t>发包人：</w:t>
      </w:r>
      <w:r>
        <w:rPr>
          <w:sz w:val="24"/>
          <w:u w:val="single"/>
        </w:rPr>
        <w:t xml:space="preserve">                    </w:t>
      </w:r>
      <w:r>
        <w:rPr>
          <w:sz w:val="24"/>
        </w:rPr>
        <w:t>（盖单位章）</w:t>
      </w:r>
    </w:p>
    <w:p>
      <w:pPr>
        <w:spacing w:line="360" w:lineRule="auto"/>
        <w:ind w:firstLineChars="0"/>
        <w:jc w:val="right"/>
        <w:rPr>
          <w:sz w:val="24"/>
        </w:rPr>
      </w:pPr>
      <w:r>
        <w:rPr>
          <w:sz w:val="24"/>
        </w:rPr>
        <w:t>法定代表人或其委托代理人：</w:t>
      </w:r>
      <w:r>
        <w:rPr>
          <w:sz w:val="24"/>
          <w:u w:val="single"/>
        </w:rPr>
        <w:t xml:space="preserve">      </w:t>
      </w:r>
      <w:r>
        <w:rPr>
          <w:sz w:val="24"/>
        </w:rPr>
        <w:t>（签字）</w:t>
      </w:r>
    </w:p>
    <w:p>
      <w:pPr>
        <w:spacing w:line="360" w:lineRule="auto"/>
        <w:ind w:firstLine="1920" w:firstLineChars="800"/>
        <w:jc w:val="right"/>
        <w:rPr>
          <w:b/>
          <w:bCs/>
          <w:sz w:val="24"/>
        </w:rPr>
      </w:pPr>
      <w:r>
        <w:rPr>
          <w:sz w:val="24"/>
          <w:u w:val="single"/>
        </w:rPr>
        <w:t xml:space="preserve">         </w:t>
      </w:r>
      <w:r>
        <w:rPr>
          <w:sz w:val="24"/>
        </w:rPr>
        <w:t>年</w:t>
      </w:r>
      <w:r>
        <w:rPr>
          <w:sz w:val="24"/>
          <w:u w:val="single"/>
        </w:rPr>
        <w:t xml:space="preserve">       </w:t>
      </w:r>
      <w:r>
        <w:rPr>
          <w:sz w:val="24"/>
        </w:rPr>
        <w:t xml:space="preserve">月 </w:t>
      </w:r>
      <w:r>
        <w:rPr>
          <w:sz w:val="24"/>
          <w:u w:val="single"/>
        </w:rPr>
        <w:t xml:space="preserve">    </w:t>
      </w:r>
      <w:r>
        <w:rPr>
          <w:sz w:val="24"/>
        </w:rPr>
        <w:t xml:space="preserve"> 日</w:t>
      </w:r>
    </w:p>
    <w:p>
      <w:pPr>
        <w:spacing w:line="360" w:lineRule="auto"/>
        <w:ind w:firstLineChars="0"/>
        <w:jc w:val="right"/>
        <w:rPr>
          <w:sz w:val="24"/>
        </w:rPr>
      </w:pPr>
    </w:p>
    <w:p>
      <w:pPr>
        <w:spacing w:line="360" w:lineRule="auto"/>
        <w:ind w:firstLineChars="0"/>
        <w:jc w:val="right"/>
        <w:rPr>
          <w:sz w:val="24"/>
        </w:rPr>
      </w:pPr>
      <w:r>
        <w:rPr>
          <w:sz w:val="24"/>
        </w:rPr>
        <w:t>承包人：</w:t>
      </w:r>
      <w:r>
        <w:rPr>
          <w:sz w:val="24"/>
          <w:u w:val="single"/>
        </w:rPr>
        <w:t xml:space="preserve">                    </w:t>
      </w:r>
      <w:r>
        <w:rPr>
          <w:sz w:val="24"/>
        </w:rPr>
        <w:t xml:space="preserve">（盖单位章） </w:t>
      </w:r>
    </w:p>
    <w:p>
      <w:pPr>
        <w:spacing w:line="360" w:lineRule="auto"/>
        <w:ind w:firstLineChars="0"/>
        <w:jc w:val="right"/>
        <w:rPr>
          <w:sz w:val="24"/>
        </w:rPr>
      </w:pPr>
      <w:r>
        <w:rPr>
          <w:sz w:val="24"/>
        </w:rPr>
        <w:t>法定代表人或其委托代理人：</w:t>
      </w:r>
      <w:r>
        <w:rPr>
          <w:sz w:val="24"/>
          <w:u w:val="single"/>
        </w:rPr>
        <w:t xml:space="preserve">      </w:t>
      </w:r>
      <w:r>
        <w:rPr>
          <w:sz w:val="24"/>
        </w:rPr>
        <w:t>（签字）</w:t>
      </w:r>
    </w:p>
    <w:p>
      <w:pPr>
        <w:spacing w:line="360" w:lineRule="auto"/>
        <w:ind w:firstLine="1920" w:firstLineChars="800"/>
        <w:jc w:val="right"/>
        <w:rPr>
          <w:b/>
          <w:bCs/>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firstLineChars="0"/>
        <w:jc w:val="right"/>
        <w:rPr>
          <w:sz w:val="24"/>
        </w:rPr>
      </w:pPr>
    </w:p>
    <w:p>
      <w:pPr>
        <w:spacing w:line="360" w:lineRule="auto"/>
        <w:ind w:firstLineChars="0"/>
        <w:jc w:val="right"/>
        <w:rPr>
          <w:sz w:val="24"/>
        </w:rPr>
      </w:pPr>
      <w:r>
        <w:rPr>
          <w:sz w:val="24"/>
        </w:rPr>
        <w:t>经办银行：</w:t>
      </w:r>
      <w:r>
        <w:rPr>
          <w:sz w:val="24"/>
          <w:u w:val="single"/>
        </w:rPr>
        <w:t xml:space="preserve">                  </w:t>
      </w:r>
      <w:r>
        <w:rPr>
          <w:sz w:val="24"/>
        </w:rPr>
        <w:t>（盖单位章）</w:t>
      </w:r>
    </w:p>
    <w:p>
      <w:pPr>
        <w:spacing w:line="360" w:lineRule="auto"/>
        <w:ind w:firstLineChars="0"/>
        <w:jc w:val="right"/>
        <w:rPr>
          <w:sz w:val="24"/>
        </w:rPr>
      </w:pPr>
      <w:r>
        <w:rPr>
          <w:sz w:val="24"/>
        </w:rPr>
        <w:t>法定代表人或其委托代理人：</w:t>
      </w:r>
      <w:r>
        <w:rPr>
          <w:sz w:val="24"/>
          <w:u w:val="single"/>
        </w:rPr>
        <w:t xml:space="preserve">      </w:t>
      </w:r>
      <w:r>
        <w:rPr>
          <w:sz w:val="24"/>
        </w:rPr>
        <w:t>（签字）</w:t>
      </w:r>
    </w:p>
    <w:p>
      <w:pPr>
        <w:pStyle w:val="217"/>
        <w:ind w:left="714" w:leftChars="340" w:firstLine="1188" w:firstLineChars="495"/>
        <w:jc w:val="right"/>
        <w:rPr>
          <w:rFonts w:eastAsia="黑体"/>
          <w:sz w:val="29"/>
          <w:szCs w:val="29"/>
        </w:rPr>
      </w:pPr>
      <w:r>
        <w:rPr>
          <w:b w:val="0"/>
          <w:kern w:val="2"/>
          <w:sz w:val="24"/>
          <w:szCs w:val="24"/>
          <w:u w:val="single"/>
        </w:rPr>
        <w:t xml:space="preserve">      </w:t>
      </w:r>
      <w:bookmarkStart w:id="560" w:name="_Toc138689440"/>
      <w:r>
        <w:rPr>
          <w:b w:val="0"/>
          <w:kern w:val="2"/>
          <w:sz w:val="24"/>
          <w:szCs w:val="24"/>
        </w:rPr>
        <w:t>年</w:t>
      </w:r>
      <w:r>
        <w:rPr>
          <w:b w:val="0"/>
          <w:kern w:val="2"/>
          <w:sz w:val="24"/>
          <w:szCs w:val="24"/>
          <w:u w:val="single"/>
        </w:rPr>
        <w:t xml:space="preserve">      </w:t>
      </w:r>
      <w:r>
        <w:rPr>
          <w:b w:val="0"/>
          <w:kern w:val="2"/>
          <w:sz w:val="24"/>
          <w:szCs w:val="24"/>
        </w:rPr>
        <w:t>月</w:t>
      </w:r>
      <w:r>
        <w:rPr>
          <w:b w:val="0"/>
          <w:kern w:val="2"/>
          <w:sz w:val="24"/>
          <w:szCs w:val="24"/>
          <w:u w:val="single"/>
        </w:rPr>
        <w:t xml:space="preserve">      </w:t>
      </w:r>
      <w:r>
        <w:rPr>
          <w:b w:val="0"/>
          <w:kern w:val="2"/>
          <w:sz w:val="24"/>
          <w:szCs w:val="24"/>
        </w:rPr>
        <w:t>日</w:t>
      </w:r>
      <w:bookmarkEnd w:id="560"/>
      <w:r>
        <w:rPr>
          <w:rFonts w:eastAsia="黑体"/>
          <w:sz w:val="29"/>
          <w:szCs w:val="29"/>
        </w:rPr>
        <w:br w:type="page"/>
      </w:r>
    </w:p>
    <w:p>
      <w:pPr>
        <w:spacing w:line="440" w:lineRule="exact"/>
        <w:ind w:firstLine="0" w:firstLineChars="0"/>
        <w:rPr>
          <w:rFonts w:eastAsia="黑体"/>
          <w:sz w:val="29"/>
          <w:szCs w:val="29"/>
        </w:rPr>
      </w:pPr>
    </w:p>
    <w:p>
      <w:pPr>
        <w:keepNext/>
        <w:keepLines/>
        <w:spacing w:beforeLines="100" w:afterLines="100" w:line="500" w:lineRule="exact"/>
        <w:ind w:firstLine="0" w:firstLineChars="0"/>
        <w:jc w:val="center"/>
        <w:outlineLvl w:val="0"/>
        <w:rPr>
          <w:rFonts w:eastAsia="黑体"/>
          <w:b/>
          <w:bCs/>
          <w:kern w:val="44"/>
          <w:sz w:val="32"/>
          <w:szCs w:val="32"/>
        </w:rPr>
      </w:pPr>
      <w:bookmarkStart w:id="561" w:name="_Toc9067790"/>
      <w:bookmarkStart w:id="562" w:name="_Toc512280930"/>
      <w:bookmarkStart w:id="563" w:name="_Toc14201400"/>
      <w:bookmarkStart w:id="564" w:name="_Toc26657073"/>
      <w:bookmarkStart w:id="565" w:name="_Toc138689441"/>
      <w:r>
        <w:rPr>
          <w:rFonts w:eastAsia="黑体"/>
          <w:b/>
          <w:bCs/>
          <w:kern w:val="44"/>
          <w:sz w:val="32"/>
          <w:szCs w:val="32"/>
        </w:rPr>
        <w:t>第五章</w:t>
      </w:r>
      <w:r>
        <w:rPr>
          <w:rFonts w:hint="eastAsia" w:eastAsia="黑体"/>
          <w:b/>
          <w:bCs/>
          <w:kern w:val="44"/>
          <w:sz w:val="32"/>
          <w:szCs w:val="32"/>
          <w:lang w:val="en-US" w:eastAsia="zh-CN"/>
        </w:rPr>
        <w:t xml:space="preserve"> </w:t>
      </w:r>
      <w:r>
        <w:rPr>
          <w:rFonts w:eastAsia="黑体"/>
          <w:b/>
          <w:bCs/>
          <w:kern w:val="44"/>
          <w:sz w:val="32"/>
          <w:szCs w:val="32"/>
        </w:rPr>
        <w:t>工程量清单</w:t>
      </w:r>
      <w:bookmarkEnd w:id="561"/>
      <w:bookmarkEnd w:id="562"/>
      <w:bookmarkEnd w:id="563"/>
      <w:bookmarkEnd w:id="564"/>
      <w:bookmarkEnd w:id="565"/>
    </w:p>
    <w:p>
      <w:pPr>
        <w:spacing w:line="440" w:lineRule="exact"/>
        <w:ind w:firstLine="0" w:firstLineChars="0"/>
        <w:jc w:val="center"/>
        <w:rPr>
          <w:rFonts w:eastAsia="黑体"/>
          <w:sz w:val="36"/>
          <w:szCs w:val="36"/>
        </w:rPr>
      </w:pPr>
    </w:p>
    <w:p>
      <w:pPr>
        <w:spacing w:line="360" w:lineRule="auto"/>
        <w:ind w:firstLineChars="0"/>
        <w:rPr>
          <w:sz w:val="24"/>
        </w:rPr>
      </w:pPr>
      <w:r>
        <w:rPr>
          <w:sz w:val="24"/>
        </w:rPr>
        <w:t>投标人自行在电子交易系统下载（</w:t>
      </w:r>
      <w:r>
        <w:rPr>
          <w:rFonts w:hint="eastAsia" w:ascii="宋体" w:hAnsi="宋体" w:cs="宋体"/>
          <w:sz w:val="24"/>
        </w:rPr>
        <w:t>“工程量清单”</w:t>
      </w:r>
      <w:r>
        <w:rPr>
          <w:sz w:val="24"/>
        </w:rPr>
        <w:t>原则上应根据交通运输部发布的《公路工程标准施工招标文件》（2018年版）第五章</w:t>
      </w:r>
      <w:r>
        <w:rPr>
          <w:rFonts w:hint="eastAsia" w:ascii="宋体" w:hAnsi="宋体" w:cs="宋体"/>
          <w:sz w:val="24"/>
        </w:rPr>
        <w:t>“工程量清单”</w:t>
      </w:r>
      <w:r>
        <w:rPr>
          <w:sz w:val="24"/>
        </w:rPr>
        <w:t>，结合招标项目特点和招标内容进行修改、补充，提供工程量清单）</w:t>
      </w:r>
    </w:p>
    <w:p>
      <w:pPr>
        <w:keepNext/>
        <w:keepLines/>
        <w:spacing w:beforeLines="100" w:afterLines="100"/>
        <w:ind w:firstLine="0" w:firstLineChars="0"/>
        <w:jc w:val="left"/>
        <w:outlineLvl w:val="1"/>
        <w:rPr>
          <w:rFonts w:eastAsia="黑体"/>
          <w:sz w:val="32"/>
          <w:szCs w:val="32"/>
          <w:highlight w:val="none"/>
        </w:rPr>
      </w:pPr>
      <w:bookmarkStart w:id="566" w:name="_Toc138689442"/>
      <w:bookmarkStart w:id="567" w:name="_Toc26657074"/>
      <w:bookmarkStart w:id="568" w:name="_Toc116662794"/>
      <w:bookmarkStart w:id="569" w:name="_Toc8986"/>
      <w:bookmarkStart w:id="570" w:name="_Toc21105"/>
      <w:bookmarkStart w:id="571" w:name="_Toc25401"/>
      <w:r>
        <w:rPr>
          <w:rFonts w:eastAsia="黑体"/>
          <w:sz w:val="32"/>
          <w:szCs w:val="32"/>
          <w:highlight w:val="none"/>
        </w:rPr>
        <w:t>1. 工程量清单说明（单价合同）</w:t>
      </w:r>
      <w:bookmarkEnd w:id="566"/>
      <w:bookmarkEnd w:id="567"/>
      <w:bookmarkEnd w:id="568"/>
      <w:bookmarkEnd w:id="569"/>
      <w:bookmarkEnd w:id="570"/>
      <w:bookmarkEnd w:id="571"/>
    </w:p>
    <w:p>
      <w:pPr>
        <w:spacing w:line="360" w:lineRule="auto"/>
        <w:ind w:firstLine="480"/>
        <w:rPr>
          <w:sz w:val="24"/>
        </w:rPr>
      </w:pPr>
      <w:r>
        <w:rPr>
          <w:sz w:val="24"/>
        </w:rPr>
        <w:t>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60" w:lineRule="auto"/>
        <w:ind w:firstLine="480"/>
        <w:rPr>
          <w:sz w:val="24"/>
        </w:rPr>
      </w:pPr>
      <w:r>
        <w:rPr>
          <w:sz w:val="24"/>
        </w:rPr>
        <w:t>1.2 本工程量清单应与招标文件中的投标人须知、通用合同条款、专用合同条款、工程量清单计量规则、技术规范及图纸等一起阅读和理解。</w:t>
      </w:r>
    </w:p>
    <w:p>
      <w:pPr>
        <w:spacing w:line="360" w:lineRule="auto"/>
        <w:ind w:firstLine="480"/>
        <w:rPr>
          <w:sz w:val="24"/>
        </w:rPr>
      </w:pPr>
      <w:r>
        <w:rPr>
          <w:sz w:val="24"/>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w:t>
      </w:r>
    </w:p>
    <w:p>
      <w:pPr>
        <w:spacing w:line="360" w:lineRule="auto"/>
        <w:ind w:firstLine="480"/>
        <w:rPr>
          <w:sz w:val="24"/>
        </w:rPr>
      </w:pPr>
      <w:r>
        <w:rPr>
          <w:sz w:val="24"/>
        </w:rPr>
        <w:t>1.4 工程量清单各章是按第八章</w:t>
      </w:r>
      <w:r>
        <w:rPr>
          <w:rFonts w:hint="eastAsia" w:ascii="宋体" w:hAnsi="宋体" w:cs="宋体"/>
          <w:sz w:val="24"/>
        </w:rPr>
        <w:t>“工程量清单计量规则”、第七章“技术规范”的相应章次编号的，因此，工程量清单中各章的工程子目的范围与计量等应与“工程量清单计量规则”“技术规范”相应章节的范围</w:t>
      </w:r>
      <w:r>
        <w:rPr>
          <w:sz w:val="24"/>
        </w:rPr>
        <w:t>、计量与支付条款结合起来理解或解释。</w:t>
      </w:r>
    </w:p>
    <w:p>
      <w:pPr>
        <w:spacing w:line="360" w:lineRule="auto"/>
        <w:ind w:firstLine="480"/>
        <w:rPr>
          <w:sz w:val="24"/>
        </w:rPr>
      </w:pPr>
      <w:r>
        <w:rPr>
          <w:sz w:val="24"/>
        </w:rPr>
        <w:t>1.5 对作业和材料的一般说明或规定，未重复写入工程量清单内，在给工程量清单各子目标价前，应参阅</w:t>
      </w:r>
      <w:r>
        <w:rPr>
          <w:rFonts w:hint="eastAsia" w:ascii="宋体" w:hAnsi="宋体" w:cs="宋体"/>
          <w:sz w:val="24"/>
        </w:rPr>
        <w:t>第七章“技术规范”</w:t>
      </w:r>
      <w:r>
        <w:rPr>
          <w:sz w:val="24"/>
        </w:rPr>
        <w:t>的有关内容。</w:t>
      </w:r>
    </w:p>
    <w:p>
      <w:pPr>
        <w:spacing w:line="360" w:lineRule="auto"/>
        <w:ind w:firstLine="480"/>
        <w:rPr>
          <w:sz w:val="24"/>
        </w:rPr>
      </w:pPr>
      <w:r>
        <w:rPr>
          <w:sz w:val="24"/>
        </w:rPr>
        <w:t>1.6 工程量清单中所列工程量的变动，丝毫不会降低或影响合同条款的效力，也不免除承包人按规定的标准进行施工和修复缺陷的责任。</w:t>
      </w:r>
    </w:p>
    <w:p>
      <w:pPr>
        <w:spacing w:line="360" w:lineRule="auto"/>
        <w:ind w:firstLine="480"/>
        <w:rPr>
          <w:sz w:val="24"/>
        </w:rPr>
      </w:pPr>
      <w:r>
        <w:rPr>
          <w:sz w:val="24"/>
        </w:rPr>
        <w:t>1.7 图纸中所列的工程数量表及数量汇总表仅是提供资料，不是工程量清单的外延。当图纸与工程量清单所列数量不一致时，以工程量清单所列数量作为报价的依据。</w:t>
      </w:r>
    </w:p>
    <w:p>
      <w:pPr>
        <w:keepNext/>
        <w:keepLines/>
        <w:spacing w:beforeLines="100" w:afterLines="100"/>
        <w:ind w:firstLine="0" w:firstLineChars="0"/>
        <w:jc w:val="left"/>
        <w:outlineLvl w:val="1"/>
        <w:rPr>
          <w:rFonts w:eastAsia="黑体"/>
          <w:sz w:val="32"/>
          <w:szCs w:val="32"/>
          <w:highlight w:val="none"/>
        </w:rPr>
      </w:pPr>
      <w:bookmarkStart w:id="572" w:name="_Toc25182"/>
      <w:bookmarkStart w:id="573" w:name="_Toc26657075"/>
      <w:bookmarkStart w:id="574" w:name="_Toc138689443"/>
      <w:bookmarkStart w:id="575" w:name="_Toc116662795"/>
      <w:bookmarkStart w:id="576" w:name="_Toc8742"/>
      <w:bookmarkStart w:id="577" w:name="_Toc3091"/>
      <w:r>
        <w:rPr>
          <w:rFonts w:eastAsia="黑体"/>
          <w:sz w:val="32"/>
          <w:szCs w:val="32"/>
          <w:highlight w:val="none"/>
        </w:rPr>
        <w:t>1. 工程量清单说明（总价合同）</w:t>
      </w:r>
      <w:bookmarkEnd w:id="572"/>
      <w:bookmarkEnd w:id="573"/>
      <w:bookmarkEnd w:id="574"/>
      <w:bookmarkEnd w:id="575"/>
      <w:bookmarkEnd w:id="576"/>
      <w:bookmarkEnd w:id="577"/>
    </w:p>
    <w:p>
      <w:pPr>
        <w:spacing w:line="360" w:lineRule="auto"/>
        <w:ind w:firstLine="480"/>
        <w:rPr>
          <w:sz w:val="24"/>
        </w:rPr>
      </w:pPr>
      <w:r>
        <w:rPr>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rPr>
          <w:sz w:val="24"/>
        </w:rPr>
      </w:pPr>
      <w:r>
        <w:rPr>
          <w:sz w:val="24"/>
        </w:rPr>
        <w:t>1.2 本工程量清单应与招标文件中的投标人须知、通用合同条款、专用合同条款、工程量清单计量规则、技术规范及图纸等一起阅读和理解。</w:t>
      </w:r>
    </w:p>
    <w:p>
      <w:pPr>
        <w:spacing w:line="360" w:lineRule="auto"/>
        <w:ind w:firstLine="480"/>
        <w:rPr>
          <w:sz w:val="24"/>
        </w:rPr>
      </w:pPr>
      <w:r>
        <w:rPr>
          <w:sz w:val="24"/>
        </w:rPr>
        <w:t>1.3 工程量清单各章是</w:t>
      </w:r>
      <w:r>
        <w:rPr>
          <w:rFonts w:hint="eastAsia"/>
          <w:sz w:val="24"/>
        </w:rPr>
        <w:t>按照</w:t>
      </w:r>
      <w:r>
        <w:rPr>
          <w:sz w:val="24"/>
        </w:rPr>
        <w:t>第</w:t>
      </w:r>
      <w:r>
        <w:rPr>
          <w:rFonts w:hint="eastAsia" w:ascii="宋体" w:hAnsi="宋体" w:cs="宋体"/>
          <w:sz w:val="24"/>
        </w:rPr>
        <w:t>八章“工程量清单计量规则”、第七章“技术规范”的相应章次编号的，因此，工程量清单中各章的工程子目的范围与计量等应与“工程量清单计量规则”“技术规范”相应章节的范围、计量与支付条款结合起来理解或解释</w:t>
      </w:r>
      <w:r>
        <w:rPr>
          <w:sz w:val="24"/>
        </w:rPr>
        <w:t>。</w:t>
      </w:r>
    </w:p>
    <w:p>
      <w:pPr>
        <w:spacing w:line="360" w:lineRule="auto"/>
        <w:ind w:firstLine="480"/>
        <w:rPr>
          <w:sz w:val="24"/>
        </w:rPr>
      </w:pPr>
      <w:r>
        <w:rPr>
          <w:sz w:val="24"/>
        </w:rPr>
        <w:t>1.4 对作业和材料的一般说明或规定，未重复写入工程量清单内，在给工程量清单各子目标价前，应参阅第七章</w:t>
      </w:r>
      <w:r>
        <w:rPr>
          <w:rFonts w:hint="eastAsia"/>
          <w:sz w:val="24"/>
        </w:rPr>
        <w:t>“</w:t>
      </w:r>
      <w:r>
        <w:rPr>
          <w:sz w:val="24"/>
        </w:rPr>
        <w:t>技术规范</w:t>
      </w:r>
      <w:r>
        <w:rPr>
          <w:rFonts w:hint="eastAsia"/>
          <w:sz w:val="24"/>
        </w:rPr>
        <w:t>”</w:t>
      </w:r>
      <w:r>
        <w:rPr>
          <w:sz w:val="24"/>
        </w:rPr>
        <w:t>的有关内容。</w:t>
      </w:r>
    </w:p>
    <w:p>
      <w:pPr>
        <w:spacing w:line="360" w:lineRule="auto"/>
        <w:ind w:firstLine="480"/>
        <w:rPr>
          <w:sz w:val="24"/>
        </w:rPr>
      </w:pPr>
      <w:r>
        <w:rPr>
          <w:sz w:val="24"/>
        </w:rPr>
        <w:t>1.5工程量清单中所列工程量的变动，丝毫不会降低或影响合同条款的效力，也不免除承包人按规定的标准进行施工和修复缺陷的责任。</w:t>
      </w:r>
    </w:p>
    <w:p>
      <w:pPr>
        <w:spacing w:line="360" w:lineRule="auto"/>
        <w:ind w:firstLine="480"/>
        <w:rPr>
          <w:sz w:val="24"/>
        </w:rPr>
      </w:pPr>
      <w:r>
        <w:rPr>
          <w:sz w:val="24"/>
        </w:rPr>
        <w:t>1.6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投标人在规定时间内未对工程量清单提出异议的，中标后，发包人不再对工程量清单的项目和数量进行校对调整。承包人须按其</w:t>
      </w:r>
      <w:r>
        <w:rPr>
          <w:rFonts w:hint="eastAsia"/>
          <w:sz w:val="24"/>
        </w:rPr>
        <w:t>投标</w:t>
      </w:r>
      <w:r>
        <w:rPr>
          <w:sz w:val="24"/>
        </w:rPr>
        <w:t>报价完成招标文件规定的招标范围、招标图纸范围规定的所有工程项目。</w:t>
      </w:r>
    </w:p>
    <w:p>
      <w:pPr>
        <w:spacing w:line="360" w:lineRule="auto"/>
        <w:ind w:firstLine="480"/>
        <w:rPr>
          <w:sz w:val="24"/>
        </w:rPr>
      </w:pPr>
      <w:r>
        <w:rPr>
          <w:sz w:val="24"/>
        </w:rPr>
        <w:t>1.7招标人对异议或修正要求应进行核实，确认单项子目工程量误差在±3%（含±3%）以内的，招标人可不予调整工程量，投标人应将其误差考虑在综合单价内；若有遗漏项目或单项子目工程量误差超过±3%的，招标人应进行修正并重新公布准确的工程量清单。</w:t>
      </w:r>
    </w:p>
    <w:p>
      <w:pPr>
        <w:spacing w:line="360" w:lineRule="auto"/>
        <w:ind w:firstLine="480"/>
        <w:rPr>
          <w:sz w:val="24"/>
        </w:rPr>
      </w:pPr>
      <w:r>
        <w:rPr>
          <w:sz w:val="24"/>
        </w:rPr>
        <w:t>1.8</w:t>
      </w:r>
      <w:r>
        <w:rPr>
          <w:rFonts w:hint="eastAsia"/>
          <w:sz w:val="24"/>
        </w:rPr>
        <w:t>若工程量清单遗漏项目或清单多项或单项子目工程量误差超过±3%且招标人未在规定的时间前进行修正并重新发布，且工程量清单遗漏项目、清单多项和单项子目（工程量误差超过±3%）的合计金额增减幅度超过签约合同价3%，招标人仅对超过的部分予以调整，其中工程量清单遗漏项目、清单多项按照合同约定的变更估价规定执行，单项子目（工程量误差超过±3%）按照中标（成交）单价执行。</w:t>
      </w:r>
    </w:p>
    <w:p>
      <w:pPr>
        <w:keepNext/>
        <w:keepLines/>
        <w:spacing w:beforeLines="100" w:afterLines="100"/>
        <w:ind w:firstLine="0" w:firstLineChars="0"/>
        <w:jc w:val="left"/>
        <w:outlineLvl w:val="1"/>
        <w:rPr>
          <w:rFonts w:eastAsia="黑体"/>
          <w:sz w:val="32"/>
          <w:szCs w:val="32"/>
        </w:rPr>
      </w:pPr>
      <w:bookmarkStart w:id="578" w:name="_Toc138689444"/>
      <w:bookmarkStart w:id="579" w:name="_Toc28886"/>
      <w:bookmarkStart w:id="580" w:name="_Toc2652"/>
      <w:bookmarkStart w:id="581" w:name="_Toc116662796"/>
      <w:bookmarkStart w:id="582" w:name="_Toc26657076"/>
      <w:bookmarkStart w:id="583" w:name="_Toc14140"/>
      <w:r>
        <w:rPr>
          <w:rFonts w:eastAsia="黑体"/>
          <w:sz w:val="32"/>
          <w:szCs w:val="32"/>
        </w:rPr>
        <w:t>2. 投标报价说明</w:t>
      </w:r>
      <w:bookmarkEnd w:id="578"/>
      <w:bookmarkEnd w:id="579"/>
      <w:bookmarkEnd w:id="580"/>
      <w:bookmarkEnd w:id="581"/>
      <w:bookmarkEnd w:id="582"/>
      <w:bookmarkEnd w:id="583"/>
    </w:p>
    <w:p>
      <w:pPr>
        <w:spacing w:line="360" w:lineRule="auto"/>
        <w:ind w:firstLine="480"/>
        <w:rPr>
          <w:sz w:val="24"/>
        </w:rPr>
      </w:pPr>
      <w:r>
        <w:rPr>
          <w:sz w:val="24"/>
        </w:rPr>
        <w:t>2.1 工程量清单中的每一子目须填入单价或价格，且只允许有一个报价。</w:t>
      </w:r>
    </w:p>
    <w:p>
      <w:pPr>
        <w:spacing w:line="360" w:lineRule="auto"/>
        <w:ind w:firstLine="480"/>
        <w:rPr>
          <w:sz w:val="24"/>
        </w:rPr>
      </w:pPr>
      <w:r>
        <w:rPr>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360" w:lineRule="auto"/>
        <w:ind w:firstLine="480"/>
        <w:rPr>
          <w:sz w:val="24"/>
        </w:rPr>
      </w:pPr>
      <w:r>
        <w:rPr>
          <w:sz w:val="24"/>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60" w:lineRule="auto"/>
        <w:ind w:firstLine="480"/>
        <w:rPr>
          <w:sz w:val="24"/>
        </w:rPr>
      </w:pPr>
      <w:r>
        <w:rPr>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360" w:lineRule="auto"/>
        <w:ind w:firstLine="480"/>
        <w:rPr>
          <w:sz w:val="24"/>
        </w:rPr>
      </w:pPr>
      <w:r>
        <w:rPr>
          <w:sz w:val="24"/>
        </w:rPr>
        <w:t>2.5 承包人用于本合同工程的各类装备的提供、运输、维护、拆卸、拼装等支付的费用，已包括在工程量清单的单价与总额价之中。</w:t>
      </w:r>
    </w:p>
    <w:p>
      <w:pPr>
        <w:spacing w:line="360" w:lineRule="auto"/>
        <w:ind w:firstLine="480"/>
        <w:rPr>
          <w:sz w:val="24"/>
        </w:rPr>
      </w:pPr>
      <w:r>
        <w:rPr>
          <w:sz w:val="24"/>
        </w:rPr>
        <w:t>2.6 工程量清单中各项金额均以人民币（元）结算。</w:t>
      </w:r>
    </w:p>
    <w:p>
      <w:pPr>
        <w:spacing w:line="360" w:lineRule="auto"/>
        <w:ind w:firstLine="480"/>
        <w:rPr>
          <w:sz w:val="24"/>
        </w:rPr>
      </w:pPr>
      <w:r>
        <w:rPr>
          <w:sz w:val="24"/>
        </w:rPr>
        <w:t>2.7 暂列金额（不含计日工总额）的数量及拟用子目的说明：</w:t>
      </w:r>
      <w:r>
        <w:rPr>
          <w:sz w:val="24"/>
          <w:u w:val="single"/>
        </w:rPr>
        <w:t xml:space="preserve">      </w:t>
      </w:r>
      <w:r>
        <w:rPr>
          <w:sz w:val="24"/>
        </w:rPr>
        <w:t>。</w:t>
      </w:r>
    </w:p>
    <w:p>
      <w:pPr>
        <w:spacing w:line="360" w:lineRule="auto"/>
        <w:ind w:firstLine="480"/>
        <w:rPr>
          <w:sz w:val="24"/>
        </w:rPr>
      </w:pPr>
      <w:r>
        <w:rPr>
          <w:sz w:val="24"/>
        </w:rPr>
        <w:t>2.8 暂估价的数量及拟用子目的说明：</w:t>
      </w:r>
      <w:r>
        <w:rPr>
          <w:sz w:val="24"/>
          <w:u w:val="single"/>
        </w:rPr>
        <w:t xml:space="preserve">      </w:t>
      </w:r>
      <w:r>
        <w:rPr>
          <w:sz w:val="24"/>
        </w:rPr>
        <w:t>。</w:t>
      </w:r>
    </w:p>
    <w:p>
      <w:pPr>
        <w:keepNext/>
        <w:keepLines/>
        <w:spacing w:beforeLines="100" w:afterLines="100"/>
        <w:ind w:firstLine="0" w:firstLineChars="0"/>
        <w:jc w:val="left"/>
        <w:outlineLvl w:val="1"/>
        <w:rPr>
          <w:rFonts w:eastAsia="黑体"/>
          <w:sz w:val="32"/>
          <w:szCs w:val="32"/>
        </w:rPr>
      </w:pPr>
      <w:bookmarkStart w:id="584" w:name="_Toc234833244"/>
      <w:bookmarkStart w:id="585" w:name="_Toc501257468"/>
      <w:bookmarkStart w:id="586" w:name="_Toc6119"/>
      <w:bookmarkStart w:id="587" w:name="_Toc138689445"/>
      <w:bookmarkStart w:id="588" w:name="_Toc15195"/>
      <w:bookmarkStart w:id="589" w:name="_Toc26657077"/>
      <w:bookmarkStart w:id="590" w:name="_Toc32066"/>
      <w:bookmarkStart w:id="591" w:name="_Toc116662797"/>
      <w:r>
        <w:rPr>
          <w:rFonts w:eastAsia="黑体"/>
          <w:sz w:val="32"/>
          <w:szCs w:val="32"/>
        </w:rPr>
        <w:t>3. 计日工说明</w:t>
      </w:r>
      <w:bookmarkEnd w:id="584"/>
      <w:bookmarkEnd w:id="585"/>
      <w:r>
        <w:rPr>
          <w:rFonts w:eastAsia="黑体"/>
          <w:sz w:val="32"/>
          <w:szCs w:val="32"/>
        </w:rPr>
        <w:t>（单价合同）</w:t>
      </w:r>
      <w:bookmarkEnd w:id="586"/>
      <w:bookmarkEnd w:id="587"/>
      <w:bookmarkEnd w:id="588"/>
      <w:bookmarkEnd w:id="589"/>
      <w:bookmarkEnd w:id="590"/>
      <w:bookmarkEnd w:id="591"/>
    </w:p>
    <w:p>
      <w:pPr>
        <w:spacing w:line="360" w:lineRule="auto"/>
        <w:ind w:firstLine="480"/>
        <w:rPr>
          <w:sz w:val="24"/>
        </w:rPr>
      </w:pPr>
      <w:r>
        <w:rPr>
          <w:sz w:val="24"/>
        </w:rPr>
        <w:t>3.1 总则</w:t>
      </w:r>
    </w:p>
    <w:p>
      <w:pPr>
        <w:spacing w:line="360" w:lineRule="auto"/>
        <w:ind w:firstLine="480"/>
        <w:rPr>
          <w:sz w:val="24"/>
        </w:rPr>
      </w:pPr>
      <w:r>
        <w:rPr>
          <w:sz w:val="24"/>
        </w:rPr>
        <w:t>（1）本说明应参照通用合同条款第15.7款一并理解。</w:t>
      </w:r>
    </w:p>
    <w:p>
      <w:pPr>
        <w:spacing w:line="360" w:lineRule="auto"/>
        <w:ind w:firstLine="480"/>
        <w:rPr>
          <w:sz w:val="24"/>
        </w:rPr>
      </w:pPr>
      <w:r>
        <w:rPr>
          <w:sz w:val="24"/>
        </w:rPr>
        <w:t>（2）未经监理人书面指令，任何工程不得按计日工施工；接到监理人按计日工施工的书面指令，承包人也不得拒绝。</w:t>
      </w:r>
    </w:p>
    <w:p>
      <w:pPr>
        <w:spacing w:line="360" w:lineRule="auto"/>
        <w:ind w:firstLine="480"/>
        <w:rPr>
          <w:sz w:val="24"/>
        </w:rPr>
      </w:pPr>
      <w:r>
        <w:rPr>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360" w:lineRule="auto"/>
        <w:ind w:firstLine="480"/>
        <w:rPr>
          <w:sz w:val="24"/>
        </w:rPr>
      </w:pPr>
      <w:r>
        <w:rPr>
          <w:sz w:val="24"/>
        </w:rPr>
        <w:t>（4）计日工不调价。</w:t>
      </w:r>
    </w:p>
    <w:p>
      <w:pPr>
        <w:spacing w:line="360" w:lineRule="auto"/>
        <w:ind w:firstLine="480"/>
        <w:rPr>
          <w:sz w:val="24"/>
        </w:rPr>
      </w:pPr>
      <w:r>
        <w:rPr>
          <w:sz w:val="24"/>
        </w:rPr>
        <w:t>3.2 计日工劳务</w:t>
      </w:r>
    </w:p>
    <w:p>
      <w:pPr>
        <w:spacing w:line="360" w:lineRule="auto"/>
        <w:ind w:firstLine="480"/>
        <w:rPr>
          <w:sz w:val="24"/>
        </w:rPr>
      </w:pPr>
      <w:r>
        <w:rPr>
          <w:sz w:val="24"/>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spacing w:line="360" w:lineRule="auto"/>
        <w:ind w:firstLine="480"/>
        <w:rPr>
          <w:sz w:val="24"/>
        </w:rPr>
      </w:pPr>
      <w:r>
        <w:rPr>
          <w:sz w:val="24"/>
        </w:rPr>
        <w:t>（2）承包人可以得到用于计日工劳务的全部工时的支付，此支付按承包人填</w:t>
      </w:r>
      <w:r>
        <w:rPr>
          <w:rFonts w:hint="eastAsia" w:ascii="宋体" w:hAnsi="宋体" w:cs="宋体"/>
          <w:sz w:val="24"/>
        </w:rPr>
        <w:t>报的“计日工劳务单价表”所列单价</w:t>
      </w:r>
      <w:r>
        <w:rPr>
          <w:sz w:val="24"/>
        </w:rPr>
        <w:t>计算，该单价应包括基本单价及承包人的管理费、税费、利润等所有附加费，说明如下：</w:t>
      </w:r>
    </w:p>
    <w:p>
      <w:pPr>
        <w:spacing w:line="360" w:lineRule="auto"/>
        <w:ind w:firstLine="480"/>
        <w:rPr>
          <w:sz w:val="24"/>
        </w:rPr>
      </w:pPr>
      <w:r>
        <w:rPr>
          <w:sz w:val="24"/>
        </w:rPr>
        <w:t>a. 劳务基本单价包括：承包人劳务的全部直接费用，如：工资、加班费、津贴、福利费及劳动保护费等。</w:t>
      </w:r>
    </w:p>
    <w:p>
      <w:pPr>
        <w:spacing w:line="360" w:lineRule="auto"/>
        <w:ind w:firstLine="480"/>
        <w:rPr>
          <w:sz w:val="24"/>
        </w:rPr>
      </w:pPr>
      <w:r>
        <w:rPr>
          <w:sz w:val="24"/>
        </w:rPr>
        <w:t>b. 承包人的利润、管理、质检、保险、税费；易耗品的使用，水电及照明费，工作台、脚手架、临时设施费，手动机具与工具的使用及维修，以及上述各项伴随而来的费用。</w:t>
      </w:r>
    </w:p>
    <w:p>
      <w:pPr>
        <w:spacing w:line="360" w:lineRule="auto"/>
        <w:ind w:firstLine="480"/>
        <w:rPr>
          <w:sz w:val="24"/>
        </w:rPr>
      </w:pPr>
      <w:r>
        <w:rPr>
          <w:sz w:val="24"/>
        </w:rPr>
        <w:t>3.3 计日工材料</w:t>
      </w:r>
    </w:p>
    <w:p>
      <w:pPr>
        <w:spacing w:line="360" w:lineRule="auto"/>
        <w:ind w:firstLine="480"/>
        <w:rPr>
          <w:sz w:val="24"/>
        </w:rPr>
      </w:pPr>
      <w:r>
        <w:rPr>
          <w:sz w:val="24"/>
        </w:rPr>
        <w:t>承包人可以得到计日工使用的材料费用（上述3.2款已计入劳务费内的材料费用除外）的支付，此费用按承</w:t>
      </w:r>
      <w:r>
        <w:rPr>
          <w:rFonts w:hint="eastAsia" w:ascii="宋体" w:hAnsi="宋体" w:cs="宋体"/>
          <w:sz w:val="24"/>
        </w:rPr>
        <w:t>包人“计日工材料单价表”中</w:t>
      </w:r>
      <w:r>
        <w:rPr>
          <w:sz w:val="24"/>
        </w:rPr>
        <w:t>所填报的单价计算，该单价应包括基本单价及承包人的管理费、税费、利润等所有附加费，说明如下：</w:t>
      </w:r>
    </w:p>
    <w:p>
      <w:pPr>
        <w:spacing w:line="360" w:lineRule="auto"/>
        <w:ind w:firstLine="480"/>
        <w:rPr>
          <w:sz w:val="24"/>
        </w:rPr>
      </w:pPr>
      <w:r>
        <w:rPr>
          <w:sz w:val="24"/>
        </w:rPr>
        <w:t>（1）材料基本单价按供货价加运杂费（到达承包人现场仓库）、保险费、仓库管理费以及运输损耗等计算；</w:t>
      </w:r>
    </w:p>
    <w:p>
      <w:pPr>
        <w:spacing w:line="360" w:lineRule="auto"/>
        <w:ind w:firstLine="480"/>
        <w:rPr>
          <w:sz w:val="24"/>
        </w:rPr>
      </w:pPr>
      <w:r>
        <w:rPr>
          <w:sz w:val="24"/>
        </w:rPr>
        <w:t>（2）承包人的利润、管理、质检、保险、税费及其他附加费；</w:t>
      </w:r>
    </w:p>
    <w:p>
      <w:pPr>
        <w:spacing w:line="360" w:lineRule="auto"/>
        <w:ind w:firstLine="480"/>
        <w:rPr>
          <w:sz w:val="24"/>
        </w:rPr>
      </w:pPr>
      <w:r>
        <w:rPr>
          <w:sz w:val="24"/>
        </w:rPr>
        <w:t>（3）从现场运至使用地点的人工费和施工机械使用费不包括在上述基本单价内。</w:t>
      </w:r>
    </w:p>
    <w:p>
      <w:pPr>
        <w:spacing w:line="360" w:lineRule="auto"/>
        <w:ind w:firstLine="480"/>
        <w:rPr>
          <w:sz w:val="24"/>
        </w:rPr>
      </w:pPr>
      <w:r>
        <w:rPr>
          <w:sz w:val="24"/>
        </w:rPr>
        <w:t>3.4 计日工施工机械</w:t>
      </w:r>
    </w:p>
    <w:p>
      <w:pPr>
        <w:spacing w:line="360" w:lineRule="auto"/>
        <w:ind w:firstLine="480"/>
        <w:rPr>
          <w:sz w:val="24"/>
        </w:rPr>
      </w:pPr>
      <w:r>
        <w:rPr>
          <w:sz w:val="24"/>
        </w:rPr>
        <w:t>（1）承包人可以得到用于计日工作业的施工机械费用的支付，该费用按承包人填报</w:t>
      </w:r>
      <w:r>
        <w:rPr>
          <w:rFonts w:hint="eastAsia" w:ascii="宋体" w:hAnsi="宋体" w:cs="宋体"/>
          <w:sz w:val="24"/>
        </w:rPr>
        <w:t>的“计日工施工机械单价表”中</w:t>
      </w:r>
      <w:r>
        <w:rPr>
          <w:sz w:val="24"/>
        </w:rPr>
        <w:t>的租价计算。该租价应包括施工机械的折旧、利息、维修、保养、零配件、油燃料、保险和其他消耗品的费用以及全部有关使用这些机械的管理费、税费、利润和司机与助手的劳务费等费用。</w:t>
      </w:r>
    </w:p>
    <w:p>
      <w:pPr>
        <w:spacing w:line="360" w:lineRule="auto"/>
        <w:ind w:firstLine="480"/>
        <w:rPr>
          <w:sz w:val="24"/>
        </w:rPr>
      </w:pPr>
      <w:r>
        <w:rPr>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keepNext/>
        <w:keepLines/>
        <w:spacing w:beforeLines="150" w:afterLines="100" w:line="380" w:lineRule="atLeast"/>
        <w:ind w:firstLine="0" w:firstLineChars="0"/>
        <w:outlineLvl w:val="0"/>
        <w:rPr>
          <w:rFonts w:eastAsia="黑体"/>
          <w:bCs/>
          <w:kern w:val="44"/>
          <w:sz w:val="28"/>
          <w:szCs w:val="28"/>
        </w:rPr>
      </w:pPr>
      <w:bookmarkStart w:id="592" w:name="_Toc138689446"/>
      <w:bookmarkStart w:id="593" w:name="_Toc9633"/>
      <w:bookmarkStart w:id="594" w:name="_Toc24173"/>
      <w:bookmarkStart w:id="595" w:name="_Toc234833245"/>
      <w:bookmarkStart w:id="596" w:name="_Toc26657078"/>
      <w:bookmarkStart w:id="597" w:name="_Toc501257469"/>
      <w:bookmarkStart w:id="598" w:name="_Toc116662798"/>
      <w:bookmarkStart w:id="599" w:name="_Toc2233"/>
      <w:r>
        <w:rPr>
          <w:b/>
          <w:bCs/>
          <w:sz w:val="24"/>
        </w:rPr>
        <w:t>4. 其他说明</w:t>
      </w:r>
      <w:bookmarkEnd w:id="592"/>
      <w:bookmarkEnd w:id="593"/>
      <w:bookmarkEnd w:id="594"/>
      <w:bookmarkEnd w:id="595"/>
      <w:bookmarkEnd w:id="596"/>
      <w:bookmarkEnd w:id="597"/>
      <w:bookmarkEnd w:id="598"/>
      <w:bookmarkEnd w:id="599"/>
    </w:p>
    <w:p>
      <w:pPr>
        <w:spacing w:line="440" w:lineRule="exact"/>
        <w:ind w:firstLine="0" w:firstLineChars="0"/>
        <w:jc w:val="center"/>
        <w:rPr>
          <w:rFonts w:eastAsia="黑体"/>
          <w:sz w:val="29"/>
          <w:szCs w:val="29"/>
        </w:rPr>
      </w:pPr>
      <w:r>
        <w:rPr>
          <w:rFonts w:eastAsia="黑体"/>
          <w:sz w:val="24"/>
        </w:rPr>
        <w:br w:type="page"/>
      </w:r>
    </w:p>
    <w:p>
      <w:pPr>
        <w:keepNext/>
        <w:keepLines/>
        <w:spacing w:beforeLines="100" w:afterLines="100" w:line="500" w:lineRule="exact"/>
        <w:ind w:firstLine="0" w:firstLineChars="0"/>
        <w:jc w:val="center"/>
        <w:outlineLvl w:val="0"/>
        <w:rPr>
          <w:rFonts w:eastAsia="黑体"/>
          <w:b/>
          <w:bCs/>
          <w:kern w:val="44"/>
          <w:sz w:val="32"/>
          <w:szCs w:val="32"/>
        </w:rPr>
      </w:pPr>
      <w:bookmarkStart w:id="600" w:name="_Toc26657079"/>
      <w:bookmarkStart w:id="601" w:name="_Toc512280932"/>
      <w:bookmarkStart w:id="602" w:name="_Toc9067791"/>
      <w:bookmarkStart w:id="603" w:name="_Toc14201401"/>
      <w:bookmarkStart w:id="604" w:name="_Toc138689447"/>
      <w:r>
        <w:rPr>
          <w:rFonts w:eastAsia="黑体"/>
          <w:b/>
          <w:bCs/>
          <w:kern w:val="44"/>
          <w:sz w:val="32"/>
          <w:szCs w:val="32"/>
        </w:rPr>
        <w:t>第六章</w:t>
      </w:r>
      <w:r>
        <w:rPr>
          <w:rFonts w:hint="eastAsia" w:eastAsia="黑体"/>
          <w:b/>
          <w:bCs/>
          <w:kern w:val="44"/>
          <w:sz w:val="32"/>
          <w:szCs w:val="32"/>
          <w:lang w:val="en-US" w:eastAsia="zh-CN"/>
        </w:rPr>
        <w:t xml:space="preserve"> </w:t>
      </w:r>
      <w:r>
        <w:rPr>
          <w:rFonts w:eastAsia="黑体"/>
          <w:b/>
          <w:bCs/>
          <w:kern w:val="44"/>
          <w:sz w:val="32"/>
          <w:szCs w:val="32"/>
        </w:rPr>
        <w:t>图纸（另册）</w:t>
      </w:r>
      <w:bookmarkEnd w:id="600"/>
      <w:bookmarkEnd w:id="601"/>
      <w:bookmarkEnd w:id="602"/>
      <w:bookmarkEnd w:id="603"/>
      <w:bookmarkEnd w:id="604"/>
    </w:p>
    <w:p>
      <w:pPr>
        <w:spacing w:line="440" w:lineRule="exact"/>
        <w:ind w:firstLine="0" w:firstLineChars="0"/>
        <w:rPr>
          <w:rFonts w:eastAsia="黑体"/>
          <w:sz w:val="20"/>
          <w:szCs w:val="20"/>
        </w:rPr>
      </w:pPr>
    </w:p>
    <w:p>
      <w:pPr>
        <w:spacing w:line="440" w:lineRule="exact"/>
        <w:ind w:firstLine="0" w:firstLineChars="0"/>
        <w:rPr>
          <w:rFonts w:eastAsia="黑体"/>
          <w:sz w:val="29"/>
          <w:szCs w:val="29"/>
        </w:rPr>
      </w:pPr>
      <w:r>
        <w:rPr>
          <w:rFonts w:eastAsia="黑体"/>
          <w:sz w:val="20"/>
          <w:szCs w:val="20"/>
        </w:rPr>
        <w:br w:type="page"/>
      </w:r>
    </w:p>
    <w:p>
      <w:pPr>
        <w:keepNext/>
        <w:keepLines/>
        <w:spacing w:beforeLines="100" w:afterLines="100" w:line="500" w:lineRule="exact"/>
        <w:ind w:firstLine="0" w:firstLineChars="0"/>
        <w:jc w:val="center"/>
        <w:outlineLvl w:val="0"/>
        <w:rPr>
          <w:rFonts w:eastAsia="黑体"/>
          <w:b/>
          <w:bCs/>
          <w:kern w:val="44"/>
          <w:sz w:val="32"/>
          <w:szCs w:val="32"/>
        </w:rPr>
      </w:pPr>
      <w:bookmarkStart w:id="605" w:name="_Toc138689448"/>
      <w:bookmarkStart w:id="606" w:name="_Toc9067792"/>
      <w:bookmarkStart w:id="607" w:name="_Toc14201402"/>
      <w:bookmarkStart w:id="608" w:name="_Toc512280933"/>
      <w:bookmarkStart w:id="609" w:name="_Toc26657080"/>
      <w:r>
        <w:rPr>
          <w:rFonts w:eastAsia="黑体"/>
          <w:b/>
          <w:bCs/>
          <w:kern w:val="44"/>
          <w:sz w:val="32"/>
          <w:szCs w:val="32"/>
        </w:rPr>
        <w:t>第七章</w:t>
      </w:r>
      <w:r>
        <w:rPr>
          <w:rFonts w:hint="eastAsia" w:eastAsia="黑体"/>
          <w:b/>
          <w:bCs/>
          <w:kern w:val="44"/>
          <w:sz w:val="32"/>
          <w:szCs w:val="32"/>
          <w:lang w:val="en-US" w:eastAsia="zh-CN"/>
        </w:rPr>
        <w:t xml:space="preserve"> </w:t>
      </w:r>
      <w:r>
        <w:rPr>
          <w:rFonts w:eastAsia="黑体"/>
          <w:b/>
          <w:bCs/>
          <w:kern w:val="44"/>
          <w:sz w:val="32"/>
          <w:szCs w:val="32"/>
        </w:rPr>
        <w:t>技术规范</w:t>
      </w:r>
      <w:bookmarkEnd w:id="605"/>
      <w:bookmarkEnd w:id="606"/>
      <w:bookmarkEnd w:id="607"/>
      <w:bookmarkEnd w:id="608"/>
      <w:bookmarkEnd w:id="609"/>
    </w:p>
    <w:p>
      <w:pPr>
        <w:spacing w:line="440" w:lineRule="exact"/>
        <w:ind w:firstLine="0" w:firstLineChars="0"/>
        <w:jc w:val="left"/>
        <w:rPr>
          <w:rFonts w:ascii="宋体" w:hAnsi="宋体"/>
          <w:sz w:val="28"/>
          <w:szCs w:val="28"/>
        </w:rPr>
      </w:pPr>
      <w:r>
        <w:rPr>
          <w:rFonts w:ascii="宋体" w:hAnsi="宋体"/>
          <w:sz w:val="28"/>
          <w:szCs w:val="28"/>
        </w:rPr>
        <w:t>1. 本招标工程项目施工、验收须达到设计文件的要求和国家及有关部委、安徽省、项目所在市现行的工程建设标准、规范、规定的要求（文件标准之间相互冲突的，以标准较高者为准）。</w:t>
      </w:r>
      <w:r>
        <w:rPr>
          <w:rFonts w:ascii="宋体" w:hAnsi="宋体"/>
          <w:sz w:val="28"/>
          <w:szCs w:val="28"/>
        </w:rPr>
        <w:br w:type="textWrapping"/>
      </w:r>
      <w:r>
        <w:rPr>
          <w:rFonts w:ascii="宋体" w:hAnsi="宋体"/>
          <w:sz w:val="28"/>
          <w:szCs w:val="28"/>
        </w:rPr>
        <w:t>2. 其他技术标准和要求：详见招标项目施工图纸及相关补疑。</w:t>
      </w:r>
    </w:p>
    <w:p>
      <w:pPr>
        <w:keepNext/>
        <w:keepLines/>
        <w:spacing w:beforeLines="100" w:afterLines="100" w:line="500" w:lineRule="exact"/>
        <w:ind w:firstLine="0" w:firstLineChars="0"/>
        <w:jc w:val="center"/>
        <w:outlineLvl w:val="0"/>
        <w:rPr>
          <w:rFonts w:eastAsia="黑体"/>
          <w:b/>
          <w:bCs/>
          <w:kern w:val="44"/>
          <w:sz w:val="44"/>
          <w:szCs w:val="44"/>
        </w:rPr>
      </w:pPr>
    </w:p>
    <w:p>
      <w:pPr>
        <w:spacing w:line="440" w:lineRule="exact"/>
        <w:ind w:firstLine="0" w:firstLineChars="0"/>
        <w:rPr>
          <w:rFonts w:eastAsia="黑体"/>
          <w:sz w:val="20"/>
          <w:szCs w:val="20"/>
        </w:rPr>
      </w:pPr>
    </w:p>
    <w:p>
      <w:pPr>
        <w:spacing w:line="440" w:lineRule="exact"/>
        <w:ind w:firstLine="0" w:firstLineChars="0"/>
        <w:rPr>
          <w:rFonts w:eastAsia="黑体"/>
          <w:sz w:val="20"/>
          <w:szCs w:val="20"/>
        </w:rPr>
      </w:pPr>
    </w:p>
    <w:p>
      <w:pPr>
        <w:spacing w:line="440" w:lineRule="exact"/>
        <w:ind w:firstLine="0" w:firstLineChars="0"/>
        <w:rPr>
          <w:rFonts w:eastAsia="黑体"/>
          <w:sz w:val="20"/>
          <w:szCs w:val="20"/>
        </w:rPr>
      </w:pPr>
    </w:p>
    <w:p>
      <w:pPr>
        <w:spacing w:line="440" w:lineRule="exact"/>
        <w:ind w:firstLine="0" w:firstLineChars="0"/>
        <w:rPr>
          <w:rFonts w:eastAsia="黑体"/>
          <w:sz w:val="20"/>
          <w:szCs w:val="20"/>
        </w:rPr>
      </w:pPr>
    </w:p>
    <w:p>
      <w:pPr>
        <w:spacing w:line="440" w:lineRule="exact"/>
        <w:ind w:firstLine="0" w:firstLineChars="0"/>
        <w:rPr>
          <w:rFonts w:eastAsia="黑体"/>
          <w:sz w:val="20"/>
          <w:szCs w:val="20"/>
        </w:rPr>
      </w:pPr>
    </w:p>
    <w:p>
      <w:pPr>
        <w:spacing w:line="440" w:lineRule="exact"/>
        <w:ind w:firstLine="0" w:firstLineChars="0"/>
        <w:rPr>
          <w:rFonts w:eastAsia="黑体"/>
          <w:sz w:val="20"/>
          <w:szCs w:val="20"/>
        </w:rPr>
      </w:pPr>
    </w:p>
    <w:p>
      <w:pPr>
        <w:spacing w:line="440" w:lineRule="exact"/>
        <w:ind w:firstLine="0" w:firstLineChars="0"/>
        <w:rPr>
          <w:rFonts w:eastAsia="黑体"/>
          <w:sz w:val="29"/>
          <w:szCs w:val="29"/>
        </w:rPr>
      </w:pPr>
      <w:r>
        <w:rPr>
          <w:rFonts w:eastAsia="黑体"/>
          <w:sz w:val="20"/>
          <w:szCs w:val="20"/>
        </w:rPr>
        <w:br w:type="page"/>
      </w:r>
    </w:p>
    <w:p>
      <w:pPr>
        <w:keepNext/>
        <w:keepLines/>
        <w:spacing w:beforeLines="100" w:afterLines="100" w:line="500" w:lineRule="exact"/>
        <w:ind w:firstLine="0" w:firstLineChars="0"/>
        <w:jc w:val="center"/>
        <w:outlineLvl w:val="0"/>
        <w:rPr>
          <w:rFonts w:eastAsia="黑体"/>
          <w:b/>
          <w:bCs/>
          <w:kern w:val="44"/>
          <w:sz w:val="32"/>
          <w:szCs w:val="32"/>
        </w:rPr>
      </w:pPr>
      <w:bookmarkStart w:id="610" w:name="_Toc138689449"/>
      <w:bookmarkStart w:id="611" w:name="_Toc9067793"/>
      <w:bookmarkStart w:id="612" w:name="_Toc14201403"/>
      <w:bookmarkStart w:id="613" w:name="_Toc512280934"/>
      <w:bookmarkStart w:id="614" w:name="_Toc26657081"/>
      <w:r>
        <w:rPr>
          <w:rFonts w:eastAsia="黑体"/>
          <w:b/>
          <w:bCs/>
          <w:kern w:val="44"/>
          <w:sz w:val="32"/>
          <w:szCs w:val="32"/>
        </w:rPr>
        <w:t>第</w:t>
      </w:r>
      <w:r>
        <w:rPr>
          <w:rFonts w:hint="eastAsia" w:eastAsia="黑体"/>
          <w:b/>
          <w:bCs/>
          <w:kern w:val="44"/>
          <w:sz w:val="32"/>
          <w:szCs w:val="32"/>
        </w:rPr>
        <w:t>八</w:t>
      </w:r>
      <w:r>
        <w:rPr>
          <w:rFonts w:eastAsia="黑体"/>
          <w:b/>
          <w:bCs/>
          <w:kern w:val="44"/>
          <w:sz w:val="32"/>
          <w:szCs w:val="32"/>
        </w:rPr>
        <w:t>章</w:t>
      </w:r>
      <w:r>
        <w:rPr>
          <w:rFonts w:hint="eastAsia" w:eastAsia="黑体"/>
          <w:b/>
          <w:bCs/>
          <w:kern w:val="44"/>
          <w:sz w:val="32"/>
          <w:szCs w:val="32"/>
          <w:lang w:val="en-US" w:eastAsia="zh-CN"/>
        </w:rPr>
        <w:t xml:space="preserve"> </w:t>
      </w:r>
      <w:r>
        <w:rPr>
          <w:rFonts w:hint="eastAsia" w:eastAsia="黑体"/>
          <w:b/>
          <w:bCs/>
          <w:kern w:val="44"/>
          <w:sz w:val="32"/>
          <w:szCs w:val="32"/>
        </w:rPr>
        <w:t>工程量清单计量规则</w:t>
      </w:r>
      <w:bookmarkEnd w:id="610"/>
      <w:bookmarkEnd w:id="611"/>
      <w:bookmarkEnd w:id="612"/>
      <w:bookmarkEnd w:id="613"/>
      <w:bookmarkEnd w:id="614"/>
    </w:p>
    <w:p>
      <w:pPr>
        <w:spacing w:line="440" w:lineRule="exact"/>
        <w:ind w:firstLine="0" w:firstLineChars="0"/>
        <w:jc w:val="center"/>
        <w:rPr>
          <w:rFonts w:asciiTheme="minorEastAsia" w:hAnsiTheme="minorEastAsia" w:eastAsiaTheme="minorEastAsia"/>
          <w:sz w:val="28"/>
          <w:szCs w:val="28"/>
        </w:rPr>
      </w:pPr>
      <w:r>
        <w:rPr>
          <w:rFonts w:asciiTheme="minorEastAsia" w:hAnsiTheme="minorEastAsia" w:eastAsiaTheme="minorEastAsia"/>
          <w:sz w:val="28"/>
          <w:szCs w:val="28"/>
        </w:rPr>
        <w:t>请投标人详见工程量编制说明等</w:t>
      </w: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spacing w:line="440" w:lineRule="exact"/>
        <w:ind w:firstLine="0" w:firstLineChars="0"/>
        <w:jc w:val="center"/>
        <w:rPr>
          <w:rFonts w:eastAsia="黑体"/>
          <w:sz w:val="29"/>
          <w:szCs w:val="29"/>
        </w:rPr>
      </w:pPr>
    </w:p>
    <w:p>
      <w:pPr>
        <w:keepNext/>
        <w:keepLines/>
        <w:spacing w:beforeLines="100" w:afterLines="100" w:line="500" w:lineRule="exact"/>
        <w:ind w:firstLine="0" w:firstLineChars="0"/>
        <w:jc w:val="center"/>
        <w:outlineLvl w:val="0"/>
        <w:rPr>
          <w:rFonts w:eastAsia="黑体"/>
          <w:b/>
          <w:bCs/>
          <w:kern w:val="44"/>
          <w:sz w:val="32"/>
          <w:szCs w:val="32"/>
        </w:rPr>
      </w:pPr>
      <w:bookmarkStart w:id="615" w:name="_Toc26657082"/>
      <w:bookmarkStart w:id="616" w:name="_Toc9067794"/>
      <w:bookmarkStart w:id="617" w:name="_Toc512280935"/>
      <w:bookmarkStart w:id="618" w:name="_Toc14201404"/>
      <w:bookmarkStart w:id="619" w:name="_Toc138689450"/>
      <w:r>
        <w:rPr>
          <w:rFonts w:eastAsia="黑体"/>
          <w:b/>
          <w:bCs/>
          <w:kern w:val="44"/>
          <w:sz w:val="32"/>
          <w:szCs w:val="32"/>
        </w:rPr>
        <w:t>第</w:t>
      </w:r>
      <w:r>
        <w:rPr>
          <w:rFonts w:hint="eastAsia" w:eastAsia="黑体"/>
          <w:b/>
          <w:bCs/>
          <w:kern w:val="44"/>
          <w:sz w:val="32"/>
          <w:szCs w:val="32"/>
        </w:rPr>
        <w:t>九</w:t>
      </w:r>
      <w:r>
        <w:rPr>
          <w:rFonts w:eastAsia="黑体"/>
          <w:b/>
          <w:bCs/>
          <w:kern w:val="44"/>
          <w:sz w:val="32"/>
          <w:szCs w:val="32"/>
        </w:rPr>
        <w:t>章</w:t>
      </w:r>
      <w:r>
        <w:rPr>
          <w:rFonts w:hint="eastAsia" w:eastAsia="黑体"/>
          <w:b/>
          <w:bCs/>
          <w:kern w:val="44"/>
          <w:sz w:val="32"/>
          <w:szCs w:val="32"/>
          <w:lang w:val="en-US" w:eastAsia="zh-CN"/>
        </w:rPr>
        <w:t xml:space="preserve"> </w:t>
      </w:r>
      <w:r>
        <w:rPr>
          <w:rFonts w:eastAsia="黑体"/>
          <w:b/>
          <w:bCs/>
          <w:kern w:val="44"/>
          <w:sz w:val="32"/>
          <w:szCs w:val="32"/>
        </w:rPr>
        <w:t>投标文件格式</w:t>
      </w:r>
      <w:bookmarkEnd w:id="615"/>
      <w:bookmarkEnd w:id="616"/>
      <w:bookmarkEnd w:id="617"/>
      <w:bookmarkEnd w:id="618"/>
      <w:bookmarkEnd w:id="619"/>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spacing w:line="360" w:lineRule="auto"/>
        <w:ind w:left="538" w:leftChars="256" w:firstLine="0" w:firstLineChars="0"/>
        <w:rPr>
          <w:rFonts w:ascii="宋体" w:hAnsi="宋体" w:cs="宋体"/>
          <w:sz w:val="36"/>
          <w:szCs w:val="36"/>
        </w:rPr>
      </w:pPr>
    </w:p>
    <w:p>
      <w:pPr>
        <w:widowControl/>
        <w:ind w:firstLine="0" w:firstLineChars="0"/>
        <w:jc w:val="left"/>
        <w:rPr>
          <w:rFonts w:ascii="宋体" w:hAnsi="宋体" w:cs="宋体"/>
          <w:sz w:val="36"/>
          <w:szCs w:val="36"/>
        </w:rPr>
      </w:pPr>
      <w:r>
        <w:rPr>
          <w:rFonts w:ascii="宋体" w:hAnsi="宋体" w:cs="宋体"/>
          <w:sz w:val="36"/>
          <w:szCs w:val="36"/>
        </w:rPr>
        <w:br w:type="page"/>
      </w:r>
    </w:p>
    <w:p>
      <w:pPr>
        <w:spacing w:line="360" w:lineRule="auto"/>
        <w:ind w:left="538" w:leftChars="256" w:firstLine="0" w:firstLineChars="0"/>
        <w:rPr>
          <w:rFonts w:ascii="宋体" w:hAnsi="宋体" w:cs="宋体"/>
          <w:sz w:val="36"/>
          <w:szCs w:val="36"/>
        </w:rPr>
      </w:pPr>
    </w:p>
    <w:p>
      <w:pPr>
        <w:spacing w:line="360" w:lineRule="auto"/>
        <w:ind w:firstLine="1440" w:firstLineChars="450"/>
        <w:rPr>
          <w:spacing w:val="-6"/>
          <w:szCs w:val="21"/>
        </w:rPr>
      </w:pPr>
      <w:r>
        <w:rPr>
          <w:rFonts w:hint="eastAsia" w:ascii="黑体" w:hAnsi="黑体" w:eastAsia="黑体"/>
          <w:sz w:val="32"/>
          <w:szCs w:val="32"/>
          <w:u w:val="single"/>
        </w:rPr>
        <w:t xml:space="preserve">             </w:t>
      </w:r>
      <w:r>
        <w:rPr>
          <w:rFonts w:hint="eastAsia" w:ascii="黑体" w:hAnsi="黑体" w:eastAsia="黑体"/>
          <w:sz w:val="28"/>
          <w:szCs w:val="28"/>
        </w:rPr>
        <w:t>（项目名称）</w:t>
      </w:r>
      <w:r>
        <w:rPr>
          <w:rFonts w:hint="eastAsia" w:ascii="黑体" w:hAnsi="黑体" w:eastAsia="黑体"/>
          <w:sz w:val="28"/>
          <w:szCs w:val="28"/>
          <w:u w:val="single"/>
        </w:rPr>
        <w:t xml:space="preserve">      </w:t>
      </w:r>
      <w:r>
        <w:rPr>
          <w:rFonts w:hint="eastAsia" w:ascii="黑体" w:hAnsi="黑体" w:eastAsia="黑体"/>
          <w:sz w:val="28"/>
          <w:szCs w:val="28"/>
        </w:rPr>
        <w:t>标段施工招标</w:t>
      </w:r>
    </w:p>
    <w:p>
      <w:pPr>
        <w:pStyle w:val="5"/>
        <w:jc w:val="center"/>
        <w:rPr>
          <w:rFonts w:ascii="黑体" w:hAnsi="黑体"/>
        </w:rPr>
      </w:pPr>
      <w:bookmarkStart w:id="620" w:name="_Toc138689451"/>
      <w:bookmarkStart w:id="621" w:name="_Toc98148205"/>
      <w:bookmarkStart w:id="622" w:name="_Toc26557"/>
      <w:bookmarkStart w:id="623" w:name="_Toc131087927"/>
      <w:r>
        <w:rPr>
          <w:rFonts w:hint="eastAsia" w:ascii="黑体" w:hAnsi="黑体"/>
          <w:sz w:val="44"/>
          <w:szCs w:val="44"/>
        </w:rPr>
        <w:t>投标文件</w:t>
      </w:r>
      <w:r>
        <w:rPr>
          <w:sz w:val="44"/>
          <w:szCs w:val="44"/>
        </w:rPr>
        <w:br w:type="textWrapping"/>
      </w:r>
      <w:r>
        <w:rPr>
          <w:rFonts w:hint="eastAsia" w:ascii="黑体" w:hAnsi="黑体"/>
          <w:sz w:val="32"/>
        </w:rPr>
        <w:t>（商务文件）</w:t>
      </w:r>
      <w:bookmarkEnd w:id="620"/>
      <w:bookmarkEnd w:id="621"/>
      <w:bookmarkEnd w:id="622"/>
      <w:bookmarkEnd w:id="623"/>
    </w:p>
    <w:p>
      <w:pPr>
        <w:ind w:firstLine="640"/>
        <w:jc w:val="center"/>
        <w:rPr>
          <w:rFonts w:ascii="黑体" w:eastAsia="黑体"/>
          <w:sz w:val="32"/>
          <w:szCs w:val="32"/>
        </w:rPr>
      </w:pPr>
    </w:p>
    <w:p>
      <w:pPr>
        <w:ind w:firstLine="640"/>
        <w:jc w:val="center"/>
        <w:rPr>
          <w:rFonts w:ascii="黑体" w:eastAsia="黑体"/>
          <w:sz w:val="32"/>
          <w:szCs w:val="32"/>
        </w:rPr>
      </w:pPr>
    </w:p>
    <w:p>
      <w:pPr>
        <w:ind w:firstLine="640"/>
        <w:jc w:val="center"/>
        <w:rPr>
          <w:rFonts w:ascii="黑体" w:eastAsia="黑体"/>
          <w:sz w:val="32"/>
          <w:szCs w:val="32"/>
        </w:rPr>
      </w:pPr>
    </w:p>
    <w:p>
      <w:pPr>
        <w:ind w:firstLine="640"/>
        <w:jc w:val="center"/>
        <w:rPr>
          <w:rFonts w:ascii="黑体" w:eastAsia="黑体"/>
          <w:sz w:val="32"/>
          <w:szCs w:val="32"/>
        </w:rPr>
      </w:pPr>
    </w:p>
    <w:p>
      <w:pPr>
        <w:ind w:firstLine="640"/>
        <w:jc w:val="center"/>
        <w:rPr>
          <w:rFonts w:ascii="黑体" w:eastAsia="黑体"/>
          <w:sz w:val="32"/>
          <w:szCs w:val="32"/>
        </w:rPr>
      </w:pPr>
    </w:p>
    <w:p>
      <w:pPr>
        <w:ind w:firstLine="640"/>
        <w:jc w:val="center"/>
        <w:rPr>
          <w:rFonts w:ascii="黑体" w:eastAsia="黑体"/>
          <w:sz w:val="32"/>
          <w:szCs w:val="32"/>
        </w:rPr>
      </w:pPr>
    </w:p>
    <w:p>
      <w:pPr>
        <w:ind w:firstLine="640"/>
        <w:jc w:val="center"/>
        <w:rPr>
          <w:rFonts w:ascii="黑体" w:eastAsia="黑体"/>
          <w:sz w:val="32"/>
          <w:szCs w:val="32"/>
        </w:rPr>
      </w:pPr>
    </w:p>
    <w:p>
      <w:pPr>
        <w:ind w:firstLine="640"/>
        <w:jc w:val="center"/>
        <w:rPr>
          <w:rFonts w:ascii="黑体" w:eastAsia="黑体"/>
          <w:sz w:val="32"/>
          <w:szCs w:val="32"/>
        </w:rPr>
      </w:pPr>
    </w:p>
    <w:p>
      <w:pPr>
        <w:ind w:firstLine="640"/>
        <w:jc w:val="center"/>
        <w:rPr>
          <w:rFonts w:ascii="黑体" w:eastAsia="黑体"/>
          <w:sz w:val="32"/>
          <w:szCs w:val="32"/>
        </w:rPr>
      </w:pPr>
    </w:p>
    <w:p>
      <w:pPr>
        <w:ind w:firstLine="640"/>
        <w:jc w:val="center"/>
        <w:rPr>
          <w:rFonts w:ascii="黑体" w:eastAsia="黑体"/>
          <w:sz w:val="32"/>
          <w:szCs w:val="32"/>
        </w:rPr>
      </w:pPr>
    </w:p>
    <w:p>
      <w:pPr>
        <w:ind w:firstLine="640"/>
        <w:jc w:val="center"/>
        <w:rPr>
          <w:rFonts w:ascii="黑体" w:eastAsia="黑体"/>
          <w:sz w:val="32"/>
          <w:szCs w:val="32"/>
        </w:rPr>
      </w:pPr>
    </w:p>
    <w:p>
      <w:pPr>
        <w:ind w:firstLine="640"/>
        <w:jc w:val="center"/>
        <w:rPr>
          <w:rFonts w:ascii="黑体" w:eastAsia="黑体"/>
          <w:sz w:val="32"/>
          <w:szCs w:val="32"/>
        </w:rPr>
      </w:pPr>
    </w:p>
    <w:p>
      <w:pPr>
        <w:ind w:firstLine="640"/>
        <w:jc w:val="center"/>
        <w:rPr>
          <w:rFonts w:ascii="黑体" w:eastAsia="黑体"/>
          <w:sz w:val="32"/>
          <w:szCs w:val="32"/>
        </w:rPr>
      </w:pPr>
    </w:p>
    <w:p>
      <w:pPr>
        <w:spacing w:line="360" w:lineRule="auto"/>
        <w:ind w:firstLine="560"/>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ind w:firstLine="560"/>
        <w:jc w:val="center"/>
        <w:rPr>
          <w:rFonts w:ascii="黑体" w:eastAsia="黑体"/>
          <w:sz w:val="28"/>
          <w:szCs w:val="28"/>
        </w:rPr>
      </w:pPr>
    </w:p>
    <w:p>
      <w:pPr>
        <w:tabs>
          <w:tab w:val="left" w:pos="3280"/>
          <w:tab w:val="left" w:pos="4680"/>
          <w:tab w:val="left" w:pos="6080"/>
        </w:tabs>
        <w:autoSpaceDE w:val="0"/>
        <w:autoSpaceDN w:val="0"/>
        <w:adjustRightInd w:val="0"/>
        <w:snapToGrid w:val="0"/>
        <w:spacing w:line="480" w:lineRule="auto"/>
        <w:ind w:firstLine="560"/>
        <w:jc w:val="center"/>
        <w:rPr>
          <w:rFonts w:ascii="宋体" w:hAnsi="宋体"/>
          <w:b/>
          <w:bCs/>
          <w:w w:val="99"/>
          <w:kern w:val="0"/>
          <w:sz w:val="28"/>
          <w:szCs w:val="22"/>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beforeLines="100" w:afterLines="100"/>
        <w:ind w:firstLine="0" w:firstLineChars="0"/>
        <w:jc w:val="center"/>
        <w:rPr>
          <w:rFonts w:eastAsia="黑体"/>
          <w:sz w:val="28"/>
          <w:szCs w:val="28"/>
        </w:rPr>
      </w:pPr>
      <w:r>
        <w:rPr>
          <w:rFonts w:eastAsia="黑体"/>
          <w:sz w:val="28"/>
          <w:szCs w:val="28"/>
        </w:rPr>
        <w:br w:type="page"/>
      </w:r>
      <w:r>
        <w:rPr>
          <w:rFonts w:hint="eastAsia" w:eastAsia="黑体"/>
          <w:sz w:val="28"/>
          <w:szCs w:val="28"/>
        </w:rPr>
        <w:t>目录</w:t>
      </w:r>
    </w:p>
    <w:p>
      <w:pPr>
        <w:spacing w:line="600" w:lineRule="exact"/>
        <w:ind w:firstLine="0" w:firstLineChars="0"/>
        <w:rPr>
          <w:szCs w:val="21"/>
        </w:rPr>
      </w:pPr>
      <w:r>
        <w:rPr>
          <w:rFonts w:hint="eastAsia"/>
          <w:szCs w:val="21"/>
        </w:rPr>
        <w:t>一、投标函（不含报价）</w:t>
      </w:r>
    </w:p>
    <w:p>
      <w:pPr>
        <w:spacing w:line="600" w:lineRule="exact"/>
        <w:ind w:firstLine="0" w:firstLineChars="0"/>
        <w:rPr>
          <w:szCs w:val="21"/>
        </w:rPr>
      </w:pPr>
      <w:r>
        <w:rPr>
          <w:rFonts w:hint="eastAsia"/>
          <w:szCs w:val="21"/>
        </w:rPr>
        <w:t>二、法定代表人身份证明或授权委托书</w:t>
      </w:r>
    </w:p>
    <w:p>
      <w:pPr>
        <w:spacing w:line="600" w:lineRule="exact"/>
        <w:ind w:firstLine="0" w:firstLineChars="0"/>
        <w:rPr>
          <w:szCs w:val="21"/>
        </w:rPr>
      </w:pPr>
      <w:r>
        <w:rPr>
          <w:rFonts w:hint="eastAsia"/>
          <w:szCs w:val="21"/>
        </w:rPr>
        <w:t>三、联合体协议书</w:t>
      </w:r>
    </w:p>
    <w:p>
      <w:pPr>
        <w:spacing w:line="600" w:lineRule="exact"/>
        <w:ind w:firstLine="0" w:firstLineChars="0"/>
        <w:rPr>
          <w:szCs w:val="21"/>
        </w:rPr>
      </w:pPr>
      <w:r>
        <w:rPr>
          <w:rFonts w:hint="eastAsia"/>
          <w:szCs w:val="21"/>
        </w:rPr>
        <w:t>四、投标保证金</w:t>
      </w:r>
    </w:p>
    <w:p>
      <w:pPr>
        <w:spacing w:line="600" w:lineRule="exact"/>
        <w:ind w:firstLine="0" w:firstLineChars="0"/>
        <w:rPr>
          <w:szCs w:val="21"/>
        </w:rPr>
      </w:pPr>
      <w:r>
        <w:rPr>
          <w:rFonts w:hint="eastAsia"/>
          <w:szCs w:val="21"/>
        </w:rPr>
        <w:t>五、项目组织管理机构</w:t>
      </w:r>
    </w:p>
    <w:p>
      <w:pPr>
        <w:spacing w:line="600" w:lineRule="exact"/>
        <w:ind w:firstLine="0" w:firstLineChars="0"/>
        <w:rPr>
          <w:szCs w:val="21"/>
        </w:rPr>
      </w:pPr>
      <w:r>
        <w:rPr>
          <w:rFonts w:hint="eastAsia"/>
          <w:szCs w:val="21"/>
        </w:rPr>
        <w:t>六、分包情况；</w:t>
      </w:r>
    </w:p>
    <w:p>
      <w:pPr>
        <w:spacing w:line="600" w:lineRule="exact"/>
        <w:ind w:firstLine="0" w:firstLineChars="0"/>
        <w:rPr>
          <w:szCs w:val="21"/>
        </w:rPr>
      </w:pPr>
      <w:r>
        <w:rPr>
          <w:rFonts w:hint="eastAsia"/>
          <w:szCs w:val="21"/>
        </w:rPr>
        <w:t>七、资格审查资料</w:t>
      </w:r>
    </w:p>
    <w:p>
      <w:pPr>
        <w:spacing w:line="600" w:lineRule="exact"/>
        <w:ind w:firstLine="0" w:firstLineChars="0"/>
        <w:rPr>
          <w:szCs w:val="21"/>
        </w:rPr>
      </w:pPr>
      <w:r>
        <w:rPr>
          <w:rFonts w:hint="eastAsia"/>
          <w:szCs w:val="21"/>
        </w:rPr>
        <w:t>八、</w:t>
      </w:r>
      <w:r>
        <w:t>商务文件详细评审资料（如有）</w:t>
      </w:r>
    </w:p>
    <w:p>
      <w:pPr>
        <w:spacing w:line="600" w:lineRule="exact"/>
        <w:ind w:firstLine="0" w:firstLineChars="0"/>
        <w:rPr>
          <w:rFonts w:ascii="宋体" w:hAnsi="宋体"/>
          <w:szCs w:val="21"/>
        </w:rPr>
      </w:pPr>
      <w:r>
        <w:rPr>
          <w:rFonts w:hint="eastAsia" w:ascii="宋体" w:hAnsi="宋体"/>
          <w:szCs w:val="21"/>
        </w:rPr>
        <w:t>九、</w:t>
      </w:r>
      <w:r>
        <w:rPr>
          <w:rFonts w:hint="eastAsia"/>
          <w:szCs w:val="21"/>
        </w:rPr>
        <w:t>其他资料</w:t>
      </w:r>
    </w:p>
    <w:p>
      <w:pPr>
        <w:pStyle w:val="6"/>
        <w:spacing w:before="240" w:after="240"/>
        <w:ind w:firstLine="640"/>
        <w:jc w:val="center"/>
        <w:rPr>
          <w:rFonts w:eastAsia="黑体"/>
          <w:bCs w:val="0"/>
          <w:sz w:val="24"/>
        </w:rPr>
      </w:pPr>
      <w:r>
        <w:rPr>
          <w:b w:val="0"/>
          <w:kern w:val="0"/>
          <w:szCs w:val="21"/>
        </w:rPr>
        <w:br w:type="page"/>
      </w:r>
      <w:bookmarkStart w:id="624" w:name="_Toc17517"/>
      <w:bookmarkStart w:id="625" w:name="_Toc17466"/>
      <w:bookmarkStart w:id="626" w:name="_Toc14201406"/>
      <w:bookmarkStart w:id="627" w:name="_Toc138689452"/>
      <w:bookmarkStart w:id="628" w:name="_Toc26657084"/>
      <w:bookmarkStart w:id="629" w:name="_Toc14201407"/>
      <w:bookmarkStart w:id="630" w:name="_Toc36562873"/>
      <w:r>
        <w:rPr>
          <w:rFonts w:eastAsia="黑体"/>
          <w:b w:val="0"/>
          <w:sz w:val="24"/>
        </w:rPr>
        <w:t>一、投标函</w:t>
      </w:r>
      <w:bookmarkEnd w:id="624"/>
      <w:bookmarkEnd w:id="625"/>
      <w:bookmarkEnd w:id="626"/>
      <w:bookmarkEnd w:id="627"/>
      <w:bookmarkEnd w:id="628"/>
    </w:p>
    <w:p>
      <w:pPr>
        <w:adjustRightInd w:val="0"/>
        <w:snapToGrid w:val="0"/>
        <w:spacing w:beforeLines="20" w:afterLines="20" w:line="360" w:lineRule="auto"/>
        <w:ind w:firstLineChars="0"/>
        <w:rPr>
          <w:rFonts w:eastAsia="黑体"/>
          <w:bCs/>
          <w:sz w:val="24"/>
          <w:szCs w:val="32"/>
        </w:rPr>
      </w:pPr>
      <w:r>
        <w:rPr>
          <w:snapToGrid w:val="0"/>
          <w:kern w:val="0"/>
          <w:sz w:val="24"/>
          <w:u w:val="single"/>
        </w:rPr>
        <w:t xml:space="preserve">      </w:t>
      </w:r>
      <w:r>
        <w:rPr>
          <w:snapToGrid w:val="0"/>
          <w:kern w:val="0"/>
          <w:sz w:val="24"/>
        </w:rPr>
        <w:t>（招标人名称）：</w:t>
      </w:r>
    </w:p>
    <w:p>
      <w:pPr>
        <w:tabs>
          <w:tab w:val="left" w:pos="7560"/>
        </w:tabs>
        <w:adjustRightInd w:val="0"/>
        <w:snapToGrid w:val="0"/>
        <w:spacing w:beforeLines="20" w:afterLines="20" w:line="360" w:lineRule="auto"/>
        <w:ind w:firstLine="480"/>
        <w:jc w:val="left"/>
        <w:rPr>
          <w:sz w:val="24"/>
        </w:rPr>
      </w:pPr>
      <w:r>
        <w:rPr>
          <w:sz w:val="24"/>
        </w:rPr>
        <w:t>1.我方已仔细研究</w:t>
      </w:r>
      <w:r>
        <w:rPr>
          <w:snapToGrid w:val="0"/>
          <w:kern w:val="0"/>
          <w:sz w:val="24"/>
          <w:u w:val="single"/>
        </w:rPr>
        <w:t xml:space="preserve">      </w:t>
      </w:r>
      <w:r>
        <w:rPr>
          <w:sz w:val="24"/>
        </w:rPr>
        <w:t>（招标项目名称）</w:t>
      </w:r>
      <w:r>
        <w:rPr>
          <w:snapToGrid w:val="0"/>
          <w:kern w:val="0"/>
          <w:sz w:val="24"/>
          <w:u w:val="single"/>
        </w:rPr>
        <w:t xml:space="preserve">      </w:t>
      </w:r>
      <w:r>
        <w:rPr>
          <w:sz w:val="24"/>
        </w:rPr>
        <w:t>标段招标文件的全部内容，在考察工程现场后，愿以</w:t>
      </w:r>
      <w:r>
        <w:rPr>
          <w:sz w:val="24"/>
          <w:u w:val="single"/>
        </w:rPr>
        <w:t>报价文件投标函中的</w:t>
      </w:r>
      <w:r>
        <w:rPr>
          <w:sz w:val="24"/>
        </w:rPr>
        <w:t>投标总报价，</w:t>
      </w:r>
      <w:r>
        <w:rPr>
          <w:rFonts w:hint="eastAsia"/>
          <w:sz w:val="24"/>
        </w:rPr>
        <w:t>按照</w:t>
      </w:r>
      <w:r>
        <w:rPr>
          <w:sz w:val="24"/>
        </w:rPr>
        <w:t>合同约定实施和完成承包工程，修补工程中的任何缺陷。</w:t>
      </w:r>
    </w:p>
    <w:p>
      <w:pPr>
        <w:tabs>
          <w:tab w:val="left" w:pos="7560"/>
        </w:tabs>
        <w:adjustRightInd w:val="0"/>
        <w:snapToGrid w:val="0"/>
        <w:spacing w:beforeLines="20" w:afterLines="20" w:line="360" w:lineRule="auto"/>
        <w:ind w:firstLine="480"/>
        <w:jc w:val="left"/>
        <w:rPr>
          <w:sz w:val="24"/>
        </w:rPr>
      </w:pPr>
      <w:r>
        <w:rPr>
          <w:sz w:val="24"/>
        </w:rPr>
        <w:t>2.</w:t>
      </w:r>
      <w:r>
        <w:rPr>
          <w:sz w:val="24"/>
          <w:szCs w:val="22"/>
        </w:rPr>
        <w:t>我方响应招标文件规定的投标有效期，并承诺在投标有效期内不撤销投标文件。</w:t>
      </w:r>
    </w:p>
    <w:p>
      <w:pPr>
        <w:tabs>
          <w:tab w:val="left" w:pos="7560"/>
        </w:tabs>
        <w:adjustRightInd w:val="0"/>
        <w:snapToGrid w:val="0"/>
        <w:spacing w:beforeLines="20" w:afterLines="20" w:line="360" w:lineRule="auto"/>
        <w:ind w:firstLine="480"/>
        <w:jc w:val="left"/>
        <w:rPr>
          <w:sz w:val="24"/>
        </w:rPr>
      </w:pPr>
      <w:r>
        <w:rPr>
          <w:sz w:val="24"/>
        </w:rPr>
        <w:t>3.工程质量：</w:t>
      </w:r>
      <w:r>
        <w:rPr>
          <w:snapToGrid w:val="0"/>
          <w:kern w:val="0"/>
          <w:sz w:val="24"/>
          <w:u w:val="single"/>
        </w:rPr>
        <w:t xml:space="preserve">      </w:t>
      </w:r>
      <w:r>
        <w:rPr>
          <w:sz w:val="24"/>
        </w:rPr>
        <w:t>；安全目标：</w:t>
      </w:r>
      <w:r>
        <w:rPr>
          <w:snapToGrid w:val="0"/>
          <w:kern w:val="0"/>
          <w:sz w:val="24"/>
          <w:u w:val="single"/>
        </w:rPr>
        <w:t xml:space="preserve">      </w:t>
      </w:r>
      <w:r>
        <w:rPr>
          <w:sz w:val="24"/>
        </w:rPr>
        <w:t>；工期：</w:t>
      </w:r>
      <w:r>
        <w:rPr>
          <w:snapToGrid w:val="0"/>
          <w:kern w:val="0"/>
          <w:sz w:val="24"/>
          <w:u w:val="single"/>
        </w:rPr>
        <w:t xml:space="preserve">      </w:t>
      </w:r>
      <w:r>
        <w:rPr>
          <w:sz w:val="24"/>
        </w:rPr>
        <w:t>日历天。</w:t>
      </w:r>
    </w:p>
    <w:p>
      <w:pPr>
        <w:tabs>
          <w:tab w:val="left" w:pos="7560"/>
        </w:tabs>
        <w:adjustRightInd w:val="0"/>
        <w:snapToGrid w:val="0"/>
        <w:spacing w:beforeLines="20" w:afterLines="20" w:line="360" w:lineRule="auto"/>
        <w:ind w:firstLine="480"/>
        <w:jc w:val="left"/>
        <w:rPr>
          <w:bCs/>
          <w:sz w:val="24"/>
        </w:rPr>
      </w:pPr>
      <w:r>
        <w:rPr>
          <w:rFonts w:hint="eastAsia"/>
          <w:bCs/>
          <w:sz w:val="24"/>
        </w:rPr>
        <w:t>4</w:t>
      </w:r>
      <w:r>
        <w:rPr>
          <w:bCs/>
          <w:sz w:val="24"/>
        </w:rPr>
        <w:t>.如我方中标，我方承诺：</w:t>
      </w:r>
    </w:p>
    <w:p>
      <w:pPr>
        <w:adjustRightInd w:val="0"/>
        <w:snapToGrid w:val="0"/>
        <w:spacing w:beforeLines="20" w:afterLines="20" w:line="360" w:lineRule="auto"/>
        <w:ind w:firstLine="420" w:firstLineChars="175"/>
        <w:rPr>
          <w:bCs/>
          <w:sz w:val="24"/>
        </w:rPr>
      </w:pPr>
      <w:r>
        <w:rPr>
          <w:bCs/>
          <w:sz w:val="24"/>
        </w:rPr>
        <w:t>（1）在收到中标通知书后，在中标通知书规定的期限内与你方签订合同；</w:t>
      </w:r>
    </w:p>
    <w:p>
      <w:pPr>
        <w:adjustRightInd w:val="0"/>
        <w:snapToGrid w:val="0"/>
        <w:spacing w:beforeLines="20" w:afterLines="20" w:line="360" w:lineRule="auto"/>
        <w:ind w:firstLine="420" w:firstLineChars="175"/>
        <w:rPr>
          <w:bCs/>
          <w:sz w:val="24"/>
        </w:rPr>
      </w:pPr>
      <w:r>
        <w:rPr>
          <w:bCs/>
          <w:sz w:val="24"/>
        </w:rPr>
        <w:t>（2）在签订合同时不向你方提出附加条件；</w:t>
      </w:r>
    </w:p>
    <w:p>
      <w:pPr>
        <w:adjustRightInd w:val="0"/>
        <w:snapToGrid w:val="0"/>
        <w:spacing w:beforeLines="20" w:afterLines="20" w:line="360" w:lineRule="auto"/>
        <w:ind w:firstLine="420" w:firstLineChars="175"/>
        <w:rPr>
          <w:bCs/>
          <w:sz w:val="24"/>
        </w:rPr>
      </w:pPr>
      <w:r>
        <w:rPr>
          <w:bCs/>
          <w:sz w:val="24"/>
        </w:rPr>
        <w:t>（3）按照招标文件要求提交履约保证金；</w:t>
      </w:r>
    </w:p>
    <w:p>
      <w:pPr>
        <w:adjustRightInd w:val="0"/>
        <w:snapToGrid w:val="0"/>
        <w:spacing w:beforeLines="20" w:afterLines="20" w:line="360" w:lineRule="auto"/>
        <w:ind w:firstLine="420" w:firstLineChars="175"/>
        <w:rPr>
          <w:bCs/>
          <w:sz w:val="24"/>
        </w:rPr>
      </w:pPr>
      <w:r>
        <w:rPr>
          <w:bCs/>
          <w:sz w:val="24"/>
        </w:rPr>
        <w:t>（4）在合同约定的期限内完成合同规定的全部义务；</w:t>
      </w:r>
    </w:p>
    <w:p>
      <w:pPr>
        <w:adjustRightInd w:val="0"/>
        <w:snapToGrid w:val="0"/>
        <w:spacing w:beforeLines="20" w:afterLines="20" w:line="360" w:lineRule="auto"/>
        <w:ind w:firstLine="420" w:firstLineChars="175"/>
        <w:rPr>
          <w:bCs/>
          <w:sz w:val="24"/>
        </w:rPr>
      </w:pPr>
      <w:r>
        <w:rPr>
          <w:bCs/>
          <w:sz w:val="24"/>
        </w:rPr>
        <w:t>（5）在你方和我方进行合同谈判之前，我方将按照合同附件提出的最低要求填报派驻本标段的其他管理和技术人员及主要机械设备，经你方审批后作为派驻本标段的项目管理机构主要人员和主要设备且不进行更换。如我方拟派驻的人员和设备不满足合同附件要求，你方有权取消我方中标资格；</w:t>
      </w:r>
    </w:p>
    <w:p>
      <w:pPr>
        <w:adjustRightInd w:val="0"/>
        <w:snapToGrid w:val="0"/>
        <w:spacing w:beforeLines="20" w:afterLines="20" w:line="360" w:lineRule="auto"/>
        <w:ind w:firstLine="420" w:firstLineChars="175"/>
        <w:rPr>
          <w:bCs/>
          <w:sz w:val="24"/>
        </w:rPr>
      </w:pPr>
      <w:r>
        <w:rPr>
          <w:bCs/>
          <w:sz w:val="24"/>
        </w:rPr>
        <w:t>（6）</w:t>
      </w:r>
      <w:r>
        <w:rPr>
          <w:sz w:val="24"/>
        </w:rPr>
        <w:t>按照国家税务总局规定，在建筑服务发生地及时足额预缴增值税（适用于注册地不在合肥市行政区域范围（含四县一市）的中标人）；</w:t>
      </w:r>
    </w:p>
    <w:p>
      <w:pPr>
        <w:adjustRightInd w:val="0"/>
        <w:snapToGrid w:val="0"/>
        <w:spacing w:beforeLines="20" w:afterLines="20" w:line="360" w:lineRule="auto"/>
        <w:ind w:firstLine="420" w:firstLineChars="175"/>
        <w:rPr>
          <w:bCs/>
          <w:sz w:val="24"/>
        </w:rPr>
      </w:pPr>
      <w:r>
        <w:rPr>
          <w:rFonts w:hint="eastAsia"/>
          <w:bCs/>
          <w:sz w:val="24"/>
        </w:rPr>
        <w:t>5</w:t>
      </w:r>
      <w:r>
        <w:rPr>
          <w:bCs/>
          <w:sz w:val="24"/>
        </w:rPr>
        <w:t>.除非另外达成协议并生效，你方的中标通知书和本投标文件以及招标文件、招标文件澄清、修改、补充文件将成为约束双方的合同文件的组成部分。</w:t>
      </w:r>
    </w:p>
    <w:p>
      <w:pPr>
        <w:adjustRightInd w:val="0"/>
        <w:snapToGrid w:val="0"/>
        <w:spacing w:beforeLines="20" w:afterLines="20" w:line="360" w:lineRule="auto"/>
        <w:ind w:firstLine="420" w:firstLineChars="175"/>
        <w:rPr>
          <w:snapToGrid w:val="0"/>
          <w:kern w:val="0"/>
          <w:sz w:val="24"/>
        </w:rPr>
      </w:pPr>
      <w:r>
        <w:rPr>
          <w:rFonts w:hint="eastAsia"/>
          <w:bCs/>
          <w:sz w:val="24"/>
        </w:rPr>
        <w:t>6</w:t>
      </w:r>
      <w:r>
        <w:rPr>
          <w:bCs/>
          <w:sz w:val="24"/>
        </w:rPr>
        <w:t>.</w:t>
      </w:r>
      <w:r>
        <w:rPr>
          <w:snapToGrid w:val="0"/>
          <w:kern w:val="0"/>
          <w:sz w:val="24"/>
          <w:u w:val="single"/>
        </w:rPr>
        <w:t xml:space="preserve">     </w:t>
      </w:r>
      <w:r>
        <w:rPr>
          <w:rFonts w:hint="eastAsia"/>
          <w:snapToGrid w:val="0"/>
          <w:kern w:val="0"/>
          <w:sz w:val="24"/>
          <w:u w:val="single"/>
        </w:rPr>
        <w:t xml:space="preserve">                  </w:t>
      </w:r>
      <w:r>
        <w:rPr>
          <w:snapToGrid w:val="0"/>
          <w:kern w:val="0"/>
          <w:sz w:val="24"/>
          <w:u w:val="single"/>
        </w:rPr>
        <w:t xml:space="preserve"> </w:t>
      </w:r>
      <w:r>
        <w:rPr>
          <w:snapToGrid w:val="0"/>
          <w:kern w:val="0"/>
          <w:sz w:val="24"/>
        </w:rPr>
        <w:t>（其他补充说明）。</w:t>
      </w:r>
    </w:p>
    <w:p>
      <w:pPr>
        <w:adjustRightInd w:val="0"/>
        <w:snapToGrid w:val="0"/>
        <w:spacing w:line="360" w:lineRule="auto"/>
        <w:ind w:firstLine="960"/>
        <w:jc w:val="right"/>
        <w:rPr>
          <w:bCs/>
          <w:sz w:val="24"/>
          <w:szCs w:val="21"/>
          <w:u w:val="single"/>
        </w:rPr>
      </w:pPr>
      <w:r>
        <w:rPr>
          <w:rFonts w:hint="eastAsia"/>
          <w:bCs/>
          <w:spacing w:val="120"/>
          <w:kern w:val="0"/>
          <w:sz w:val="24"/>
          <w:szCs w:val="21"/>
          <w:fitText w:val="1200" w:id="-1231314685"/>
        </w:rPr>
        <w:t>投标</w:t>
      </w:r>
      <w:r>
        <w:rPr>
          <w:rFonts w:hint="eastAsia"/>
          <w:bCs/>
          <w:spacing w:val="0"/>
          <w:kern w:val="0"/>
          <w:sz w:val="24"/>
          <w:szCs w:val="21"/>
          <w:fitText w:val="1200" w:id="-1231314685"/>
        </w:rPr>
        <w:t>人</w:t>
      </w:r>
      <w:r>
        <w:rPr>
          <w:rFonts w:hint="eastAsia"/>
          <w:bCs/>
          <w:sz w:val="24"/>
          <w:szCs w:val="21"/>
        </w:rPr>
        <w:t>：</w:t>
      </w:r>
      <w:r>
        <w:rPr>
          <w:rFonts w:hint="eastAsia"/>
          <w:bCs/>
          <w:sz w:val="24"/>
          <w:szCs w:val="21"/>
          <w:u w:val="single"/>
        </w:rPr>
        <w:t xml:space="preserve">            </w:t>
      </w:r>
      <w:r>
        <w:rPr>
          <w:rFonts w:hint="eastAsia"/>
          <w:bCs/>
          <w:sz w:val="24"/>
          <w:szCs w:val="21"/>
        </w:rPr>
        <w:t>（盖单位章）</w:t>
      </w:r>
    </w:p>
    <w:p>
      <w:pPr>
        <w:adjustRightInd w:val="0"/>
        <w:snapToGrid w:val="0"/>
        <w:spacing w:line="360" w:lineRule="auto"/>
        <w:ind w:firstLine="480"/>
        <w:jc w:val="right"/>
        <w:rPr>
          <w:sz w:val="24"/>
          <w:szCs w:val="21"/>
          <w:u w:val="single"/>
        </w:rPr>
      </w:pPr>
      <w:r>
        <w:rPr>
          <w:rFonts w:hint="eastAsia"/>
          <w:spacing w:val="0"/>
          <w:kern w:val="0"/>
          <w:sz w:val="24"/>
          <w:szCs w:val="21"/>
          <w:fitText w:val="1200" w:id="-1231314684"/>
        </w:rPr>
        <w:t>法定代表人</w:t>
      </w:r>
      <w:r>
        <w:rPr>
          <w:rFonts w:hint="eastAsia"/>
          <w:sz w:val="24"/>
          <w:szCs w:val="21"/>
        </w:rPr>
        <w:t>：</w:t>
      </w:r>
      <w:r>
        <w:rPr>
          <w:rFonts w:hint="eastAsia"/>
          <w:bCs/>
          <w:sz w:val="24"/>
          <w:szCs w:val="21"/>
          <w:u w:val="single"/>
        </w:rPr>
        <w:t xml:space="preserve">          </w:t>
      </w:r>
      <w:r>
        <w:rPr>
          <w:rFonts w:hint="eastAsia"/>
          <w:sz w:val="24"/>
          <w:szCs w:val="21"/>
        </w:rPr>
        <w:t>（签字或盖章）</w:t>
      </w:r>
    </w:p>
    <w:p>
      <w:pPr>
        <w:pStyle w:val="6"/>
        <w:ind w:firstLine="1920"/>
        <w:jc w:val="right"/>
        <w:rPr>
          <w:rFonts w:ascii="宋体" w:hAnsi="宋体"/>
          <w:szCs w:val="21"/>
        </w:rPr>
      </w:pPr>
      <w:bookmarkStart w:id="631" w:name="_Toc138689453"/>
      <w:r>
        <w:rPr>
          <w:rFonts w:hint="eastAsia"/>
          <w:b w:val="0"/>
          <w:spacing w:val="360"/>
          <w:kern w:val="0"/>
          <w:sz w:val="24"/>
          <w:szCs w:val="21"/>
          <w:fitText w:val="1200" w:id="-1231314683"/>
        </w:rPr>
        <w:t>日</w:t>
      </w:r>
      <w:r>
        <w:rPr>
          <w:rFonts w:hint="eastAsia"/>
          <w:b w:val="0"/>
          <w:spacing w:val="0"/>
          <w:kern w:val="0"/>
          <w:sz w:val="24"/>
          <w:szCs w:val="21"/>
          <w:fitText w:val="1200" w:id="-1231314683"/>
        </w:rPr>
        <w:t>期</w:t>
      </w:r>
      <w:r>
        <w:rPr>
          <w:rFonts w:hint="eastAsia"/>
          <w:b w:val="0"/>
          <w:bCs w:val="0"/>
          <w:sz w:val="24"/>
          <w:szCs w:val="21"/>
        </w:rPr>
        <w:t>：</w:t>
      </w:r>
      <w:r>
        <w:rPr>
          <w:rFonts w:hint="eastAsia"/>
          <w:b w:val="0"/>
          <w:bCs w:val="0"/>
          <w:sz w:val="24"/>
          <w:szCs w:val="21"/>
          <w:u w:val="single"/>
        </w:rPr>
        <w:t xml:space="preserve">       </w:t>
      </w:r>
      <w:r>
        <w:rPr>
          <w:rFonts w:hint="eastAsia"/>
          <w:b w:val="0"/>
          <w:bCs w:val="0"/>
          <w:sz w:val="24"/>
          <w:szCs w:val="21"/>
        </w:rPr>
        <w:t>年</w:t>
      </w:r>
      <w:r>
        <w:rPr>
          <w:rFonts w:hint="eastAsia"/>
          <w:b w:val="0"/>
          <w:bCs w:val="0"/>
          <w:sz w:val="24"/>
          <w:szCs w:val="21"/>
          <w:u w:val="single"/>
        </w:rPr>
        <w:t xml:space="preserve">     </w:t>
      </w:r>
      <w:r>
        <w:rPr>
          <w:rFonts w:hint="eastAsia"/>
          <w:b w:val="0"/>
          <w:bCs w:val="0"/>
          <w:sz w:val="24"/>
          <w:szCs w:val="21"/>
        </w:rPr>
        <w:t>月</w:t>
      </w:r>
      <w:r>
        <w:rPr>
          <w:rFonts w:hint="eastAsia"/>
          <w:b w:val="0"/>
          <w:bCs w:val="0"/>
          <w:sz w:val="24"/>
          <w:szCs w:val="21"/>
          <w:u w:val="single"/>
        </w:rPr>
        <w:t xml:space="preserve">      </w:t>
      </w:r>
      <w:r>
        <w:rPr>
          <w:rFonts w:hint="eastAsia"/>
          <w:b w:val="0"/>
          <w:bCs w:val="0"/>
          <w:sz w:val="24"/>
          <w:szCs w:val="21"/>
        </w:rPr>
        <w:t>日</w:t>
      </w:r>
      <w:bookmarkEnd w:id="631"/>
      <w:r>
        <w:rPr>
          <w:rFonts w:hint="eastAsia"/>
          <w:szCs w:val="21"/>
        </w:rPr>
        <w:br w:type="page"/>
      </w:r>
    </w:p>
    <w:bookmarkEnd w:id="629"/>
    <w:bookmarkEnd w:id="630"/>
    <w:p>
      <w:pPr>
        <w:widowControl/>
        <w:spacing w:before="240" w:after="240" w:line="360" w:lineRule="auto"/>
        <w:ind w:firstLine="480"/>
        <w:jc w:val="center"/>
        <w:outlineLvl w:val="2"/>
        <w:rPr>
          <w:rFonts w:eastAsia="黑体"/>
          <w:sz w:val="24"/>
          <w:szCs w:val="32"/>
        </w:rPr>
      </w:pPr>
      <w:bookmarkStart w:id="632" w:name="_Toc8736"/>
      <w:bookmarkStart w:id="633" w:name="_Toc138689454"/>
      <w:r>
        <w:rPr>
          <w:rFonts w:eastAsia="黑体"/>
          <w:sz w:val="24"/>
          <w:szCs w:val="32"/>
        </w:rPr>
        <w:t>二、法定代表人身份证明或授权委托书</w:t>
      </w:r>
      <w:bookmarkEnd w:id="632"/>
      <w:bookmarkEnd w:id="633"/>
    </w:p>
    <w:p>
      <w:pPr>
        <w:spacing w:line="360" w:lineRule="auto"/>
        <w:ind w:firstLine="997" w:firstLineChars="414"/>
        <w:rPr>
          <w:b/>
          <w:bCs/>
          <w:sz w:val="24"/>
        </w:rPr>
      </w:pPr>
    </w:p>
    <w:p>
      <w:pPr>
        <w:spacing w:line="360" w:lineRule="auto"/>
        <w:ind w:firstLine="480"/>
        <w:jc w:val="center"/>
        <w:rPr>
          <w:rFonts w:ascii="黑体" w:hAnsi="黑体" w:eastAsia="黑体" w:cs="黑体"/>
          <w:sz w:val="24"/>
        </w:rPr>
      </w:pPr>
      <w:bookmarkStart w:id="634" w:name="_Toc31656"/>
      <w:r>
        <w:rPr>
          <w:rFonts w:hint="eastAsia" w:ascii="黑体" w:hAnsi="黑体" w:eastAsia="黑体" w:cs="黑体"/>
          <w:sz w:val="24"/>
        </w:rPr>
        <w:t>法定代表人身份证明</w:t>
      </w:r>
      <w:bookmarkEnd w:id="634"/>
    </w:p>
    <w:p>
      <w:pPr>
        <w:spacing w:line="360" w:lineRule="auto"/>
        <w:ind w:left="765" w:firstLineChars="0"/>
        <w:rPr>
          <w:sz w:val="24"/>
        </w:rPr>
      </w:pPr>
    </w:p>
    <w:p>
      <w:pPr>
        <w:spacing w:line="360" w:lineRule="auto"/>
        <w:ind w:firstLineChars="0"/>
        <w:rPr>
          <w:sz w:val="24"/>
        </w:rPr>
      </w:pPr>
      <w:r>
        <w:rPr>
          <w:sz w:val="24"/>
        </w:rPr>
        <w:t>投 标 人：</w:t>
      </w:r>
      <w:r>
        <w:rPr>
          <w:sz w:val="24"/>
          <w:u w:val="single"/>
        </w:rPr>
        <w:t xml:space="preserve">                                                        </w:t>
      </w:r>
    </w:p>
    <w:p>
      <w:pPr>
        <w:spacing w:line="360" w:lineRule="auto"/>
        <w:ind w:firstLineChars="0"/>
        <w:rPr>
          <w:sz w:val="24"/>
        </w:rPr>
      </w:pPr>
      <w:r>
        <w:rPr>
          <w:sz w:val="24"/>
        </w:rPr>
        <w:t>单位性质：</w:t>
      </w:r>
      <w:r>
        <w:rPr>
          <w:sz w:val="24"/>
          <w:u w:val="single"/>
        </w:rPr>
        <w:t xml:space="preserve">                                                        </w:t>
      </w:r>
    </w:p>
    <w:p>
      <w:pPr>
        <w:spacing w:line="360" w:lineRule="auto"/>
        <w:ind w:firstLineChars="0"/>
        <w:rPr>
          <w:sz w:val="24"/>
        </w:rPr>
      </w:pPr>
      <w:r>
        <w:rPr>
          <w:sz w:val="24"/>
        </w:rPr>
        <w:t>地    址：</w:t>
      </w:r>
      <w:r>
        <w:rPr>
          <w:sz w:val="24"/>
          <w:u w:val="single"/>
        </w:rPr>
        <w:t xml:space="preserve">                                                        </w:t>
      </w:r>
    </w:p>
    <w:p>
      <w:pPr>
        <w:spacing w:line="360" w:lineRule="auto"/>
        <w:ind w:firstLineChars="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firstLineChars="0"/>
        <w:rPr>
          <w:sz w:val="24"/>
        </w:rPr>
      </w:pPr>
      <w:r>
        <w:rPr>
          <w:sz w:val="24"/>
        </w:rPr>
        <w:t>经营期限：</w:t>
      </w:r>
      <w:r>
        <w:rPr>
          <w:sz w:val="24"/>
          <w:u w:val="single"/>
        </w:rPr>
        <w:t xml:space="preserve">                                                        </w:t>
      </w:r>
    </w:p>
    <w:p>
      <w:pPr>
        <w:spacing w:line="360" w:lineRule="auto"/>
        <w:ind w:firstLineChars="0"/>
        <w:rPr>
          <w:sz w:val="24"/>
        </w:rPr>
      </w:pPr>
      <w:r>
        <w:rPr>
          <w:sz w:val="24"/>
        </w:rPr>
        <w:t>姓    名：</w:t>
      </w:r>
      <w:r>
        <w:rPr>
          <w:sz w:val="24"/>
          <w:u w:val="single"/>
        </w:rPr>
        <w:t xml:space="preserve">                          </w:t>
      </w:r>
      <w:r>
        <w:rPr>
          <w:sz w:val="24"/>
        </w:rPr>
        <w:t>性        别：</w:t>
      </w:r>
      <w:r>
        <w:rPr>
          <w:sz w:val="24"/>
          <w:u w:val="single"/>
        </w:rPr>
        <w:t xml:space="preserve">                </w:t>
      </w:r>
    </w:p>
    <w:p>
      <w:pPr>
        <w:spacing w:line="360" w:lineRule="auto"/>
        <w:ind w:firstLineChars="0"/>
        <w:rPr>
          <w:sz w:val="24"/>
        </w:rPr>
      </w:pPr>
      <w:r>
        <w:rPr>
          <w:sz w:val="24"/>
        </w:rPr>
        <w:t>年    龄：</w:t>
      </w:r>
      <w:r>
        <w:rPr>
          <w:sz w:val="24"/>
          <w:u w:val="single"/>
        </w:rPr>
        <w:t xml:space="preserve">                          </w:t>
      </w:r>
      <w:r>
        <w:rPr>
          <w:sz w:val="24"/>
        </w:rPr>
        <w:t>职        务：</w:t>
      </w:r>
      <w:r>
        <w:rPr>
          <w:sz w:val="24"/>
          <w:u w:val="single"/>
        </w:rPr>
        <w:t xml:space="preserve">                </w:t>
      </w:r>
    </w:p>
    <w:p>
      <w:pPr>
        <w:spacing w:line="360" w:lineRule="auto"/>
        <w:ind w:firstLineChars="0"/>
        <w:rPr>
          <w:sz w:val="24"/>
        </w:rPr>
      </w:pPr>
      <w:r>
        <w:rPr>
          <w:sz w:val="24"/>
        </w:rPr>
        <w:t>系</w:t>
      </w:r>
      <w:r>
        <w:rPr>
          <w:sz w:val="24"/>
          <w:u w:val="single"/>
        </w:rPr>
        <w:t xml:space="preserve">                                    </w:t>
      </w:r>
      <w:r>
        <w:rPr>
          <w:sz w:val="24"/>
        </w:rPr>
        <w:t>（投标人名称）的法定代表人。</w:t>
      </w:r>
    </w:p>
    <w:p>
      <w:pPr>
        <w:spacing w:line="360" w:lineRule="auto"/>
        <w:ind w:firstLineChars="0"/>
        <w:rPr>
          <w:sz w:val="24"/>
        </w:rPr>
      </w:pPr>
      <w:r>
        <w:rPr>
          <w:sz w:val="24"/>
        </w:rPr>
        <w:t>特此证明。</w:t>
      </w:r>
    </w:p>
    <w:p>
      <w:pPr>
        <w:spacing w:line="360" w:lineRule="auto"/>
        <w:ind w:firstLineChars="0"/>
        <w:rPr>
          <w:sz w:val="24"/>
        </w:rPr>
      </w:pPr>
      <w:r>
        <w:rPr>
          <w:sz w:val="24"/>
        </w:rPr>
        <w:t>附：法定代表人身份证</w:t>
      </w:r>
      <w:r>
        <w:rPr>
          <w:rFonts w:hint="eastAsia"/>
          <w:sz w:val="24"/>
        </w:rPr>
        <w:t>正反面</w:t>
      </w:r>
      <w:r>
        <w:rPr>
          <w:sz w:val="24"/>
        </w:rPr>
        <w:t>扫描件</w:t>
      </w:r>
    </w:p>
    <w:p>
      <w:pPr>
        <w:spacing w:line="360" w:lineRule="auto"/>
        <w:ind w:firstLineChars="0"/>
        <w:jc w:val="right"/>
        <w:rPr>
          <w:sz w:val="24"/>
        </w:rPr>
      </w:pPr>
    </w:p>
    <w:p>
      <w:pPr>
        <w:adjustRightInd w:val="0"/>
        <w:snapToGrid w:val="0"/>
        <w:spacing w:line="360" w:lineRule="auto"/>
        <w:ind w:firstLine="960"/>
        <w:jc w:val="right"/>
        <w:rPr>
          <w:bCs/>
          <w:sz w:val="24"/>
          <w:szCs w:val="21"/>
          <w:u w:val="single"/>
        </w:rPr>
      </w:pPr>
      <w:r>
        <w:rPr>
          <w:rFonts w:hint="eastAsia"/>
          <w:bCs/>
          <w:spacing w:val="120"/>
          <w:kern w:val="0"/>
          <w:sz w:val="24"/>
          <w:szCs w:val="21"/>
          <w:fitText w:val="1200" w:id="-1231314677"/>
        </w:rPr>
        <w:t>投标</w:t>
      </w:r>
      <w:r>
        <w:rPr>
          <w:rFonts w:hint="eastAsia"/>
          <w:bCs/>
          <w:spacing w:val="0"/>
          <w:kern w:val="0"/>
          <w:sz w:val="24"/>
          <w:szCs w:val="21"/>
          <w:fitText w:val="1200" w:id="-1231314677"/>
        </w:rPr>
        <w:t>人</w:t>
      </w:r>
      <w:r>
        <w:rPr>
          <w:rFonts w:hint="eastAsia"/>
          <w:bCs/>
          <w:sz w:val="24"/>
          <w:szCs w:val="21"/>
        </w:rPr>
        <w:t>：</w:t>
      </w:r>
      <w:r>
        <w:rPr>
          <w:rFonts w:hint="eastAsia"/>
          <w:bCs/>
          <w:sz w:val="24"/>
          <w:szCs w:val="21"/>
          <w:u w:val="single"/>
        </w:rPr>
        <w:t xml:space="preserve">            </w:t>
      </w:r>
      <w:r>
        <w:rPr>
          <w:rFonts w:hint="eastAsia"/>
          <w:bCs/>
          <w:sz w:val="24"/>
          <w:szCs w:val="21"/>
        </w:rPr>
        <w:t>（盖单位章）</w:t>
      </w:r>
    </w:p>
    <w:p>
      <w:pPr>
        <w:adjustRightInd w:val="0"/>
        <w:snapToGrid w:val="0"/>
        <w:spacing w:line="360" w:lineRule="auto"/>
        <w:ind w:firstLine="1920"/>
        <w:jc w:val="right"/>
        <w:rPr>
          <w:rFonts w:eastAsia="黑体"/>
          <w:sz w:val="28"/>
          <w:szCs w:val="28"/>
        </w:rPr>
      </w:pPr>
      <w:r>
        <w:rPr>
          <w:rFonts w:hint="eastAsia"/>
          <w:bCs/>
          <w:spacing w:val="360"/>
          <w:kern w:val="0"/>
          <w:sz w:val="24"/>
          <w:szCs w:val="21"/>
          <w:fitText w:val="1200" w:id="-1231314676"/>
        </w:rPr>
        <w:t>日</w:t>
      </w:r>
      <w:r>
        <w:rPr>
          <w:rFonts w:hint="eastAsia"/>
          <w:bCs/>
          <w:spacing w:val="0"/>
          <w:kern w:val="0"/>
          <w:sz w:val="24"/>
          <w:szCs w:val="21"/>
          <w:fitText w:val="1200" w:id="-1231314676"/>
        </w:rPr>
        <w:t>期</w:t>
      </w:r>
      <w:r>
        <w:rPr>
          <w:rFonts w:hint="eastAsia"/>
          <w:sz w:val="24"/>
          <w:szCs w:val="21"/>
        </w:rPr>
        <w:t>：</w:t>
      </w:r>
      <w:r>
        <w:rPr>
          <w:rFonts w:hint="eastAsia"/>
          <w:sz w:val="24"/>
          <w:szCs w:val="21"/>
          <w:u w:val="single"/>
        </w:rPr>
        <w:t xml:space="preserve">       </w:t>
      </w:r>
      <w:r>
        <w:rPr>
          <w:rFonts w:hint="eastAsia"/>
          <w:sz w:val="24"/>
          <w:szCs w:val="21"/>
        </w:rPr>
        <w:t>年</w:t>
      </w:r>
      <w:r>
        <w:rPr>
          <w:rFonts w:hint="eastAsia"/>
          <w:sz w:val="24"/>
          <w:szCs w:val="21"/>
          <w:u w:val="single"/>
        </w:rPr>
        <w:t xml:space="preserve">     </w:t>
      </w:r>
      <w:r>
        <w:rPr>
          <w:rFonts w:hint="eastAsia"/>
          <w:sz w:val="24"/>
          <w:szCs w:val="21"/>
        </w:rPr>
        <w:t>月</w:t>
      </w:r>
      <w:r>
        <w:rPr>
          <w:rFonts w:hint="eastAsia"/>
          <w:sz w:val="24"/>
          <w:szCs w:val="21"/>
          <w:u w:val="single"/>
        </w:rPr>
        <w:t xml:space="preserve">      </w:t>
      </w:r>
      <w:r>
        <w:rPr>
          <w:rFonts w:hint="eastAsia"/>
          <w:sz w:val="24"/>
          <w:szCs w:val="21"/>
        </w:rPr>
        <w:t>日</w:t>
      </w:r>
    </w:p>
    <w:p>
      <w:pPr>
        <w:spacing w:beforeLines="20" w:afterLines="20" w:line="360" w:lineRule="auto"/>
        <w:ind w:firstLineChars="0"/>
        <w:rPr>
          <w:b/>
          <w:bCs/>
          <w:sz w:val="24"/>
        </w:rPr>
      </w:pPr>
    </w:p>
    <w:p>
      <w:pPr>
        <w:spacing w:beforeLines="20" w:afterLines="20" w:line="360" w:lineRule="auto"/>
        <w:ind w:firstLineChars="0"/>
        <w:rPr>
          <w:b/>
          <w:bCs/>
          <w:sz w:val="24"/>
        </w:rPr>
      </w:pPr>
    </w:p>
    <w:p>
      <w:pPr>
        <w:spacing w:beforeLines="20" w:afterLines="20" w:line="360" w:lineRule="auto"/>
        <w:ind w:firstLineChars="0"/>
        <w:rPr>
          <w:b/>
          <w:bCs/>
          <w:sz w:val="24"/>
        </w:rPr>
      </w:pPr>
    </w:p>
    <w:p>
      <w:pPr>
        <w:spacing w:line="360" w:lineRule="auto"/>
        <w:ind w:firstLine="480"/>
        <w:jc w:val="center"/>
        <w:rPr>
          <w:rFonts w:ascii="黑体" w:hAnsi="黑体" w:eastAsia="黑体" w:cs="黑体"/>
          <w:bCs/>
          <w:sz w:val="24"/>
        </w:rPr>
      </w:pPr>
      <w:bookmarkStart w:id="635" w:name="_Toc535241084"/>
      <w:bookmarkStart w:id="636" w:name="_Toc535241130"/>
      <w:bookmarkStart w:id="637" w:name="_Toc535241227"/>
      <w:r>
        <w:rPr>
          <w:sz w:val="24"/>
        </w:rPr>
        <w:br w:type="page"/>
      </w:r>
      <w:bookmarkStart w:id="638" w:name="_Toc32482"/>
      <w:r>
        <w:rPr>
          <w:rFonts w:hint="eastAsia" w:ascii="黑体" w:hAnsi="黑体" w:eastAsia="黑体" w:cs="黑体"/>
          <w:bCs/>
          <w:sz w:val="24"/>
        </w:rPr>
        <w:t>授权委托书</w:t>
      </w:r>
      <w:bookmarkEnd w:id="635"/>
      <w:bookmarkEnd w:id="636"/>
      <w:bookmarkEnd w:id="637"/>
      <w:bookmarkEnd w:id="638"/>
    </w:p>
    <w:p>
      <w:pPr>
        <w:spacing w:line="360" w:lineRule="auto"/>
        <w:ind w:firstLineChars="0"/>
        <w:rPr>
          <w:sz w:val="24"/>
        </w:rPr>
      </w:pPr>
    </w:p>
    <w:p>
      <w:pPr>
        <w:snapToGrid w:val="0"/>
        <w:spacing w:line="360" w:lineRule="auto"/>
        <w:ind w:firstLine="480"/>
        <w:jc w:val="left"/>
        <w:rPr>
          <w:sz w:val="24"/>
        </w:rPr>
      </w:pPr>
      <w:r>
        <w:rPr>
          <w:sz w:val="24"/>
        </w:rPr>
        <w:t>本人</w:t>
      </w:r>
      <w:r>
        <w:rPr>
          <w:sz w:val="24"/>
          <w:u w:val="single"/>
        </w:rPr>
        <w:t xml:space="preserve">      </w:t>
      </w:r>
      <w:r>
        <w:rPr>
          <w:sz w:val="24"/>
        </w:rPr>
        <w:t>（姓名）系</w:t>
      </w:r>
      <w:r>
        <w:rPr>
          <w:sz w:val="24"/>
          <w:u w:val="single"/>
        </w:rPr>
        <w:t xml:space="preserve">      </w:t>
      </w:r>
      <w:r>
        <w:rPr>
          <w:sz w:val="24"/>
        </w:rPr>
        <w:t>（投标人名称）的法定代表人，现委托</w:t>
      </w:r>
      <w:r>
        <w:rPr>
          <w:sz w:val="24"/>
          <w:u w:val="single"/>
        </w:rPr>
        <w:t xml:space="preserve">      </w:t>
      </w:r>
      <w:r>
        <w:rPr>
          <w:sz w:val="24"/>
        </w:rPr>
        <w:t>（姓名）为我方代理人。代理人根据授权，以我方名义签署、澄清、说明、补正、递交、撤回、修改</w:t>
      </w:r>
      <w:r>
        <w:rPr>
          <w:sz w:val="24"/>
          <w:u w:val="single"/>
        </w:rPr>
        <w:t xml:space="preserve">      </w:t>
      </w:r>
      <w:r>
        <w:rPr>
          <w:sz w:val="24"/>
        </w:rPr>
        <w:t>（招标项目名称）</w:t>
      </w:r>
      <w:r>
        <w:rPr>
          <w:sz w:val="24"/>
          <w:u w:val="single"/>
        </w:rPr>
        <w:t xml:space="preserve">      </w:t>
      </w:r>
      <w:r>
        <w:rPr>
          <w:sz w:val="24"/>
        </w:rPr>
        <w:t>标段施工投标文件、签订合同和处理有关事宜，其法律后果由我方承担。</w:t>
      </w:r>
    </w:p>
    <w:p>
      <w:pPr>
        <w:snapToGrid w:val="0"/>
        <w:spacing w:line="360" w:lineRule="auto"/>
        <w:ind w:firstLine="480"/>
        <w:rPr>
          <w:sz w:val="24"/>
        </w:rPr>
      </w:pPr>
      <w:r>
        <w:rPr>
          <w:sz w:val="24"/>
        </w:rPr>
        <w:t>委托期限：</w:t>
      </w:r>
      <w:r>
        <w:rPr>
          <w:sz w:val="24"/>
          <w:u w:val="single"/>
        </w:rPr>
        <w:t>自本委托书签署之日起至投标有效期期满</w:t>
      </w:r>
      <w:r>
        <w:rPr>
          <w:sz w:val="24"/>
        </w:rPr>
        <w:t>。</w:t>
      </w:r>
    </w:p>
    <w:p>
      <w:pPr>
        <w:snapToGrid w:val="0"/>
        <w:spacing w:line="360" w:lineRule="auto"/>
        <w:ind w:firstLine="480"/>
        <w:rPr>
          <w:sz w:val="24"/>
        </w:rPr>
      </w:pPr>
      <w:r>
        <w:rPr>
          <w:sz w:val="24"/>
        </w:rPr>
        <w:t>代理人无转委托权。</w:t>
      </w:r>
    </w:p>
    <w:p>
      <w:pPr>
        <w:snapToGrid w:val="0"/>
        <w:spacing w:line="360" w:lineRule="auto"/>
        <w:ind w:firstLine="480"/>
        <w:rPr>
          <w:sz w:val="24"/>
        </w:rPr>
      </w:pPr>
      <w:r>
        <w:rPr>
          <w:sz w:val="24"/>
        </w:rPr>
        <w:t>附：法定代表人身份证明</w:t>
      </w:r>
    </w:p>
    <w:p>
      <w:pPr>
        <w:snapToGrid w:val="0"/>
        <w:spacing w:line="360" w:lineRule="auto"/>
        <w:ind w:firstLine="960" w:firstLineChars="400"/>
        <w:rPr>
          <w:sz w:val="24"/>
        </w:rPr>
      </w:pPr>
      <w:r>
        <w:rPr>
          <w:sz w:val="24"/>
        </w:rPr>
        <w:t>代理人身份证</w:t>
      </w:r>
      <w:r>
        <w:rPr>
          <w:rFonts w:hint="eastAsia"/>
          <w:sz w:val="24"/>
        </w:rPr>
        <w:t>正反面</w:t>
      </w:r>
      <w:r>
        <w:rPr>
          <w:sz w:val="24"/>
        </w:rPr>
        <w:t>扫描件</w:t>
      </w:r>
    </w:p>
    <w:p>
      <w:pPr>
        <w:spacing w:line="360" w:lineRule="auto"/>
        <w:ind w:firstLineChars="0"/>
        <w:rPr>
          <w:sz w:val="24"/>
        </w:rPr>
      </w:pPr>
    </w:p>
    <w:p>
      <w:pPr>
        <w:adjustRightInd w:val="0"/>
        <w:snapToGrid w:val="0"/>
        <w:spacing w:line="360" w:lineRule="auto"/>
        <w:ind w:firstLine="960"/>
        <w:jc w:val="right"/>
        <w:rPr>
          <w:bCs/>
          <w:sz w:val="24"/>
          <w:szCs w:val="21"/>
          <w:u w:val="single"/>
        </w:rPr>
      </w:pPr>
      <w:r>
        <w:rPr>
          <w:rFonts w:hint="eastAsia"/>
          <w:bCs/>
          <w:spacing w:val="120"/>
          <w:kern w:val="0"/>
          <w:sz w:val="24"/>
          <w:szCs w:val="21"/>
          <w:fitText w:val="1200" w:id="-1231314675"/>
        </w:rPr>
        <w:t>投标</w:t>
      </w:r>
      <w:r>
        <w:rPr>
          <w:rFonts w:hint="eastAsia"/>
          <w:bCs/>
          <w:spacing w:val="0"/>
          <w:kern w:val="0"/>
          <w:sz w:val="24"/>
          <w:szCs w:val="21"/>
          <w:fitText w:val="1200" w:id="-1231314675"/>
        </w:rPr>
        <w:t>人</w:t>
      </w:r>
      <w:r>
        <w:rPr>
          <w:rFonts w:hint="eastAsia"/>
          <w:bCs/>
          <w:sz w:val="24"/>
          <w:szCs w:val="21"/>
        </w:rPr>
        <w:t>：</w:t>
      </w:r>
      <w:r>
        <w:rPr>
          <w:rFonts w:hint="eastAsia"/>
          <w:bCs/>
          <w:sz w:val="24"/>
          <w:szCs w:val="21"/>
          <w:u w:val="single"/>
        </w:rPr>
        <w:t xml:space="preserve">            </w:t>
      </w:r>
      <w:r>
        <w:rPr>
          <w:rFonts w:hint="eastAsia"/>
          <w:bCs/>
          <w:sz w:val="24"/>
          <w:szCs w:val="21"/>
        </w:rPr>
        <w:t>（盖单位章）</w:t>
      </w:r>
    </w:p>
    <w:p>
      <w:pPr>
        <w:adjustRightInd w:val="0"/>
        <w:snapToGrid w:val="0"/>
        <w:spacing w:line="360" w:lineRule="auto"/>
        <w:ind w:firstLine="480"/>
        <w:jc w:val="right"/>
        <w:rPr>
          <w:sz w:val="24"/>
          <w:szCs w:val="21"/>
          <w:u w:val="single"/>
        </w:rPr>
      </w:pPr>
      <w:r>
        <w:rPr>
          <w:rFonts w:hint="eastAsia"/>
          <w:spacing w:val="0"/>
          <w:kern w:val="0"/>
          <w:sz w:val="24"/>
          <w:szCs w:val="21"/>
          <w:fitText w:val="1200" w:id="-1231314674"/>
        </w:rPr>
        <w:t>法定代表人</w:t>
      </w:r>
      <w:r>
        <w:rPr>
          <w:rFonts w:hint="eastAsia"/>
          <w:sz w:val="24"/>
          <w:szCs w:val="21"/>
        </w:rPr>
        <w:t>：</w:t>
      </w:r>
      <w:r>
        <w:rPr>
          <w:rFonts w:hint="eastAsia"/>
          <w:bCs/>
          <w:sz w:val="24"/>
          <w:szCs w:val="21"/>
          <w:u w:val="single"/>
        </w:rPr>
        <w:t xml:space="preserve">          </w:t>
      </w:r>
      <w:r>
        <w:rPr>
          <w:rFonts w:hint="eastAsia"/>
          <w:sz w:val="24"/>
          <w:szCs w:val="21"/>
        </w:rPr>
        <w:t>（签字或盖章）</w:t>
      </w:r>
    </w:p>
    <w:p>
      <w:pPr>
        <w:adjustRightInd w:val="0"/>
        <w:snapToGrid w:val="0"/>
        <w:spacing w:line="360" w:lineRule="auto"/>
        <w:ind w:firstLine="1920"/>
        <w:jc w:val="right"/>
        <w:rPr>
          <w:rFonts w:eastAsia="黑体"/>
          <w:sz w:val="28"/>
          <w:szCs w:val="28"/>
        </w:rPr>
      </w:pPr>
      <w:r>
        <w:rPr>
          <w:rFonts w:hint="eastAsia"/>
          <w:bCs/>
          <w:spacing w:val="360"/>
          <w:kern w:val="0"/>
          <w:sz w:val="24"/>
          <w:szCs w:val="21"/>
          <w:fitText w:val="1200" w:id="-1231314673"/>
        </w:rPr>
        <w:t>日</w:t>
      </w:r>
      <w:r>
        <w:rPr>
          <w:rFonts w:hint="eastAsia"/>
          <w:bCs/>
          <w:spacing w:val="0"/>
          <w:kern w:val="0"/>
          <w:sz w:val="24"/>
          <w:szCs w:val="21"/>
          <w:fitText w:val="1200" w:id="-1231314673"/>
        </w:rPr>
        <w:t>期</w:t>
      </w:r>
      <w:r>
        <w:rPr>
          <w:rFonts w:hint="eastAsia"/>
          <w:sz w:val="24"/>
          <w:szCs w:val="21"/>
        </w:rPr>
        <w:t>：</w:t>
      </w:r>
      <w:r>
        <w:rPr>
          <w:rFonts w:hint="eastAsia"/>
          <w:sz w:val="24"/>
          <w:szCs w:val="21"/>
          <w:u w:val="single"/>
        </w:rPr>
        <w:t xml:space="preserve">       </w:t>
      </w:r>
      <w:r>
        <w:rPr>
          <w:rFonts w:hint="eastAsia"/>
          <w:sz w:val="24"/>
          <w:szCs w:val="21"/>
        </w:rPr>
        <w:t>年</w:t>
      </w:r>
      <w:r>
        <w:rPr>
          <w:rFonts w:hint="eastAsia"/>
          <w:sz w:val="24"/>
          <w:szCs w:val="21"/>
          <w:u w:val="single"/>
        </w:rPr>
        <w:t xml:space="preserve">     </w:t>
      </w:r>
      <w:r>
        <w:rPr>
          <w:rFonts w:hint="eastAsia"/>
          <w:sz w:val="24"/>
          <w:szCs w:val="21"/>
        </w:rPr>
        <w:t>月</w:t>
      </w:r>
      <w:r>
        <w:rPr>
          <w:rFonts w:hint="eastAsia"/>
          <w:sz w:val="24"/>
          <w:szCs w:val="21"/>
          <w:u w:val="single"/>
        </w:rPr>
        <w:t xml:space="preserve">      </w:t>
      </w:r>
      <w:r>
        <w:rPr>
          <w:rFonts w:hint="eastAsia"/>
          <w:sz w:val="24"/>
          <w:szCs w:val="21"/>
        </w:rPr>
        <w:t>日</w:t>
      </w:r>
    </w:p>
    <w:p>
      <w:pPr>
        <w:spacing w:line="360" w:lineRule="auto"/>
        <w:ind w:firstLineChars="0"/>
        <w:jc w:val="right"/>
        <w:rPr>
          <w:sz w:val="24"/>
        </w:rPr>
      </w:pPr>
    </w:p>
    <w:p>
      <w:pPr>
        <w:autoSpaceDE w:val="0"/>
        <w:autoSpaceDN w:val="0"/>
        <w:adjustRightInd w:val="0"/>
        <w:snapToGrid w:val="0"/>
        <w:spacing w:line="360" w:lineRule="auto"/>
        <w:ind w:firstLineChars="0"/>
        <w:jc w:val="left"/>
        <w:rPr>
          <w:kern w:val="0"/>
          <w:sz w:val="24"/>
        </w:rPr>
      </w:pPr>
    </w:p>
    <w:p>
      <w:pPr>
        <w:tabs>
          <w:tab w:val="left" w:pos="5760"/>
        </w:tabs>
        <w:autoSpaceDE w:val="0"/>
        <w:autoSpaceDN w:val="0"/>
        <w:adjustRightInd w:val="0"/>
        <w:spacing w:line="360" w:lineRule="auto"/>
        <w:ind w:right="11" w:firstLineChars="0"/>
        <w:rPr>
          <w:kern w:val="0"/>
          <w:sz w:val="24"/>
        </w:rPr>
      </w:pPr>
      <w:r>
        <w:rPr>
          <w:kern w:val="0"/>
          <w:sz w:val="24"/>
        </w:rPr>
        <w:t>注：</w:t>
      </w:r>
    </w:p>
    <w:p>
      <w:pPr>
        <w:tabs>
          <w:tab w:val="left" w:pos="5760"/>
        </w:tabs>
        <w:autoSpaceDE w:val="0"/>
        <w:autoSpaceDN w:val="0"/>
        <w:adjustRightInd w:val="0"/>
        <w:spacing w:line="360" w:lineRule="auto"/>
        <w:ind w:firstLine="480"/>
        <w:rPr>
          <w:kern w:val="0"/>
          <w:sz w:val="24"/>
        </w:rPr>
      </w:pPr>
      <w:r>
        <w:rPr>
          <w:kern w:val="0"/>
          <w:sz w:val="24"/>
        </w:rPr>
        <w:t>法定代表人参加投标活动并签署文件的不需要授权委托书，只需提供法定代表人身份证明；</w:t>
      </w:r>
    </w:p>
    <w:p>
      <w:pPr>
        <w:tabs>
          <w:tab w:val="left" w:pos="5760"/>
        </w:tabs>
        <w:autoSpaceDE w:val="0"/>
        <w:autoSpaceDN w:val="0"/>
        <w:adjustRightInd w:val="0"/>
        <w:spacing w:line="300" w:lineRule="exact"/>
        <w:ind w:right="11" w:firstLine="480"/>
        <w:rPr>
          <w:rFonts w:ascii="宋体" w:hAnsi="宋体"/>
          <w:kern w:val="0"/>
          <w:szCs w:val="22"/>
        </w:rPr>
      </w:pPr>
      <w:r>
        <w:rPr>
          <w:kern w:val="0"/>
          <w:sz w:val="24"/>
        </w:rPr>
        <w:t>非法定代表人参加投标活动及签署文件的除提供法定代表人身份证明外还须提供授权委托书。</w:t>
      </w:r>
    </w:p>
    <w:p>
      <w:pPr>
        <w:pStyle w:val="6"/>
        <w:ind w:firstLine="0" w:firstLineChars="0"/>
        <w:jc w:val="center"/>
      </w:pPr>
      <w:r>
        <w:rPr>
          <w:b w:val="0"/>
          <w:kern w:val="0"/>
          <w:szCs w:val="22"/>
        </w:rPr>
        <w:br w:type="page"/>
      </w:r>
      <w:bookmarkStart w:id="639" w:name="_Toc535241228"/>
      <w:bookmarkStart w:id="640" w:name="_Toc131087930"/>
      <w:bookmarkStart w:id="641" w:name="_Toc535241131"/>
      <w:bookmarkStart w:id="642" w:name="_Toc53665200"/>
      <w:bookmarkStart w:id="643" w:name="_Toc138689455"/>
      <w:bookmarkStart w:id="644" w:name="_Toc535241085"/>
      <w:bookmarkStart w:id="645" w:name="_Toc133311792"/>
      <w:bookmarkStart w:id="646" w:name="_Toc98148208"/>
      <w:bookmarkStart w:id="647" w:name="_Toc76375418"/>
      <w:bookmarkStart w:id="648" w:name="_Toc460227110"/>
      <w:bookmarkStart w:id="649" w:name="_Toc460660225"/>
      <w:r>
        <w:rPr>
          <w:rFonts w:hint="eastAsia"/>
        </w:rPr>
        <w:t>三、联合体协议书</w:t>
      </w:r>
      <w:bookmarkEnd w:id="639"/>
      <w:bookmarkEnd w:id="640"/>
      <w:bookmarkEnd w:id="641"/>
      <w:bookmarkEnd w:id="642"/>
      <w:bookmarkEnd w:id="643"/>
      <w:bookmarkEnd w:id="644"/>
      <w:bookmarkEnd w:id="645"/>
      <w:bookmarkEnd w:id="646"/>
      <w:bookmarkEnd w:id="647"/>
    </w:p>
    <w:p>
      <w:pPr>
        <w:spacing w:line="394" w:lineRule="exact"/>
        <w:ind w:firstLine="480"/>
        <w:rPr>
          <w:rFonts w:ascii="宋体" w:hAnsi="宋体"/>
          <w:sz w:val="24"/>
        </w:rPr>
      </w:pPr>
      <w:r>
        <w:rPr>
          <w:rFonts w:hint="eastAsia" w:ascii="宋体" w:hAnsi="宋体"/>
          <w:sz w:val="24"/>
        </w:rPr>
        <w:t>牵头人（成员一）名称：</w:t>
      </w:r>
      <w:r>
        <w:rPr>
          <w:rFonts w:hint="eastAsia" w:ascii="宋体" w:hAnsi="宋体"/>
          <w:sz w:val="24"/>
          <w:u w:val="single"/>
        </w:rPr>
        <w:t xml:space="preserve">                                        </w:t>
      </w:r>
    </w:p>
    <w:p>
      <w:pPr>
        <w:spacing w:line="394" w:lineRule="exact"/>
        <w:ind w:firstLine="480"/>
        <w:rPr>
          <w:rFonts w:ascii="宋体" w:hAnsi="宋体"/>
          <w:sz w:val="24"/>
        </w:rPr>
      </w:pPr>
      <w:r>
        <w:rPr>
          <w:rFonts w:hint="eastAsia" w:ascii="宋体" w:hAnsi="宋体"/>
          <w:sz w:val="24"/>
        </w:rPr>
        <w:t>法定代表人：</w:t>
      </w:r>
      <w:r>
        <w:rPr>
          <w:rFonts w:hint="eastAsia" w:ascii="宋体" w:hAnsi="宋体"/>
          <w:sz w:val="24"/>
          <w:u w:val="single"/>
        </w:rPr>
        <w:t xml:space="preserve">                                                  </w:t>
      </w:r>
    </w:p>
    <w:p>
      <w:pPr>
        <w:spacing w:line="394" w:lineRule="exact"/>
        <w:ind w:firstLine="480"/>
        <w:rPr>
          <w:rFonts w:ascii="宋体" w:hAnsi="宋体"/>
          <w:sz w:val="24"/>
        </w:rPr>
      </w:pPr>
      <w:r>
        <w:rPr>
          <w:rFonts w:hint="eastAsia" w:ascii="宋体" w:hAnsi="宋体"/>
          <w:sz w:val="24"/>
        </w:rPr>
        <w:t>法定住所：</w:t>
      </w:r>
      <w:r>
        <w:rPr>
          <w:rFonts w:hint="eastAsia" w:ascii="宋体" w:hAnsi="宋体"/>
          <w:sz w:val="24"/>
          <w:u w:val="single"/>
        </w:rPr>
        <w:t xml:space="preserve">                                                    </w:t>
      </w:r>
    </w:p>
    <w:p>
      <w:pPr>
        <w:spacing w:line="394" w:lineRule="exact"/>
        <w:ind w:firstLine="480"/>
        <w:rPr>
          <w:rFonts w:ascii="宋体" w:hAnsi="宋体"/>
          <w:sz w:val="24"/>
        </w:rPr>
      </w:pPr>
      <w:r>
        <w:rPr>
          <w:rFonts w:hint="eastAsia" w:ascii="宋体" w:hAnsi="宋体"/>
          <w:sz w:val="24"/>
        </w:rPr>
        <w:t>成员二名称：</w:t>
      </w:r>
      <w:r>
        <w:rPr>
          <w:rFonts w:hint="eastAsia" w:ascii="宋体" w:hAnsi="宋体"/>
          <w:sz w:val="24"/>
          <w:u w:val="single"/>
        </w:rPr>
        <w:t xml:space="preserve">                                                  </w:t>
      </w:r>
    </w:p>
    <w:p>
      <w:pPr>
        <w:spacing w:line="394" w:lineRule="exact"/>
        <w:ind w:firstLine="480"/>
        <w:rPr>
          <w:rFonts w:ascii="宋体" w:hAnsi="宋体"/>
          <w:sz w:val="24"/>
        </w:rPr>
      </w:pPr>
      <w:r>
        <w:rPr>
          <w:rFonts w:hint="eastAsia" w:ascii="宋体" w:hAnsi="宋体"/>
          <w:sz w:val="24"/>
        </w:rPr>
        <w:t>法定代表人：</w:t>
      </w:r>
      <w:r>
        <w:rPr>
          <w:rFonts w:hint="eastAsia" w:ascii="宋体" w:hAnsi="宋体"/>
          <w:sz w:val="24"/>
          <w:u w:val="single"/>
        </w:rPr>
        <w:t xml:space="preserve">                                                  </w:t>
      </w:r>
    </w:p>
    <w:p>
      <w:pPr>
        <w:spacing w:line="394" w:lineRule="exact"/>
        <w:ind w:firstLine="480"/>
        <w:rPr>
          <w:rFonts w:ascii="宋体" w:hAnsi="宋体"/>
          <w:sz w:val="24"/>
          <w:u w:val="single"/>
        </w:rPr>
      </w:pPr>
      <w:r>
        <w:rPr>
          <w:rFonts w:hint="eastAsia" w:ascii="宋体" w:hAnsi="宋体"/>
          <w:sz w:val="24"/>
        </w:rPr>
        <w:t>法定住所：</w:t>
      </w:r>
      <w:r>
        <w:rPr>
          <w:rFonts w:hint="eastAsia" w:ascii="宋体" w:hAnsi="宋体"/>
          <w:sz w:val="24"/>
          <w:u w:val="single"/>
        </w:rPr>
        <w:t xml:space="preserve">                                                    </w:t>
      </w:r>
    </w:p>
    <w:p>
      <w:pPr>
        <w:spacing w:line="394" w:lineRule="exact"/>
        <w:ind w:firstLine="600" w:firstLineChars="250"/>
        <w:rPr>
          <w:rFonts w:ascii="宋体" w:hAnsi="宋体"/>
          <w:sz w:val="24"/>
        </w:rPr>
      </w:pPr>
      <w:r>
        <w:rPr>
          <w:rFonts w:hint="eastAsia" w:ascii="宋体" w:hAnsi="宋体"/>
          <w:sz w:val="24"/>
        </w:rPr>
        <w:t>……</w:t>
      </w:r>
    </w:p>
    <w:p>
      <w:pPr>
        <w:spacing w:line="394" w:lineRule="exact"/>
        <w:ind w:firstLine="480"/>
        <w:rPr>
          <w:rFonts w:ascii="宋体" w:hAnsi="宋体"/>
          <w:sz w:val="24"/>
        </w:rPr>
      </w:pPr>
      <w:r>
        <w:rPr>
          <w:rFonts w:hint="eastAsia" w:ascii="宋体" w:hAnsi="宋体"/>
          <w:sz w:val="24"/>
        </w:rPr>
        <w:t>鉴于上述各成员单位经过友好协商，自愿组成</w:t>
      </w:r>
      <w:r>
        <w:rPr>
          <w:rFonts w:hint="eastAsia" w:ascii="宋体" w:hAnsi="宋体"/>
          <w:sz w:val="24"/>
          <w:u w:val="single"/>
        </w:rPr>
        <w:t xml:space="preserve">       </w:t>
      </w:r>
      <w:r>
        <w:rPr>
          <w:rFonts w:hint="eastAsia" w:ascii="宋体" w:hAnsi="宋体"/>
          <w:sz w:val="24"/>
        </w:rPr>
        <w:t>（联合体名称）联合体，共同参加</w:t>
      </w:r>
    </w:p>
    <w:p>
      <w:pPr>
        <w:spacing w:line="394" w:lineRule="exact"/>
        <w:ind w:firstLine="480"/>
        <w:rPr>
          <w:rFonts w:ascii="宋体" w:hAnsi="宋体"/>
          <w:sz w:val="24"/>
        </w:rPr>
      </w:pPr>
      <w:r>
        <w:rPr>
          <w:rFonts w:hint="eastAsia" w:ascii="宋体" w:hAnsi="宋体"/>
          <w:sz w:val="24"/>
          <w:u w:val="single"/>
        </w:rPr>
        <w:t xml:space="preserve">                  </w:t>
      </w:r>
      <w:r>
        <w:rPr>
          <w:rFonts w:hint="eastAsia" w:ascii="宋体" w:hAnsi="宋体"/>
          <w:sz w:val="24"/>
        </w:rPr>
        <w:t>（招标人名称）（以下简称招标人）</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标段（以下简称本工程）的施工投标并争取赢得本工程施工承包合同（以下简称合同）。现就联合体投标事宜订立如下协议：</w:t>
      </w:r>
    </w:p>
    <w:p>
      <w:pPr>
        <w:spacing w:line="394" w:lineRule="exact"/>
        <w:ind w:firstLine="480"/>
        <w:rPr>
          <w:rFonts w:ascii="宋体" w:hAnsi="宋体"/>
          <w:sz w:val="24"/>
        </w:rPr>
      </w:pPr>
      <w:r>
        <w:rPr>
          <w:rFonts w:hint="eastAsia" w:ascii="宋体" w:hAnsi="宋体"/>
          <w:sz w:val="24"/>
        </w:rPr>
        <w:t xml:space="preserve">1． </w:t>
      </w:r>
      <w:r>
        <w:rPr>
          <w:rFonts w:hint="eastAsia" w:ascii="宋体" w:hAnsi="宋体"/>
          <w:sz w:val="24"/>
          <w:u w:val="single"/>
        </w:rPr>
        <w:t xml:space="preserve">        </w:t>
      </w:r>
      <w:r>
        <w:rPr>
          <w:rFonts w:hint="eastAsia" w:ascii="宋体" w:hAnsi="宋体"/>
          <w:sz w:val="24"/>
        </w:rPr>
        <w:t>（某成员单位名称）为</w:t>
      </w:r>
      <w:r>
        <w:rPr>
          <w:rFonts w:hint="eastAsia" w:ascii="宋体" w:hAnsi="宋体"/>
          <w:sz w:val="24"/>
          <w:u w:val="single"/>
        </w:rPr>
        <w:t xml:space="preserve">              </w:t>
      </w:r>
      <w:r>
        <w:rPr>
          <w:rFonts w:hint="eastAsia" w:ascii="宋体" w:hAnsi="宋体"/>
          <w:sz w:val="24"/>
        </w:rPr>
        <w:t>（联合体名称）牵头人。</w:t>
      </w:r>
    </w:p>
    <w:p>
      <w:pPr>
        <w:spacing w:line="394" w:lineRule="exact"/>
        <w:ind w:firstLine="480"/>
        <w:rPr>
          <w:rFonts w:ascii="宋体" w:hAnsi="宋体"/>
          <w:sz w:val="24"/>
        </w:rPr>
      </w:pPr>
      <w:r>
        <w:rPr>
          <w:rFonts w:hint="eastAsia" w:ascii="宋体" w:hAnsi="宋体"/>
          <w:sz w:val="24"/>
        </w:rPr>
        <w:t>2． 在本工程投标阶段，联合体牵头人合法代表联合体各成员负责本工程投标文件编制活动，代表联合体提交和接收相关的资料、信息及指示，并处理与投标和中标有关的一切事务</w:t>
      </w:r>
      <w:r>
        <w:rPr>
          <w:rFonts w:hint="eastAsia" w:ascii="宋体" w:hAnsi="宋体"/>
          <w:b/>
          <w:sz w:val="24"/>
        </w:rPr>
        <w:t>（联合体牵头单位针对招标文件所作出的响应，视同联合体所有成员的共同响应）</w:t>
      </w:r>
      <w:r>
        <w:rPr>
          <w:rFonts w:hint="eastAsia" w:ascii="宋体" w:hAnsi="宋体"/>
          <w:sz w:val="24"/>
        </w:rPr>
        <w:t>；联合体中标后，联合体牵头人负责合同订立和合同实施阶段的主办、组织和协调工作。</w:t>
      </w:r>
    </w:p>
    <w:p>
      <w:pPr>
        <w:spacing w:line="394" w:lineRule="exact"/>
        <w:ind w:firstLine="480"/>
        <w:rPr>
          <w:rFonts w:ascii="宋体" w:hAnsi="宋体"/>
          <w:sz w:val="24"/>
        </w:rPr>
      </w:pPr>
      <w:r>
        <w:rPr>
          <w:rFonts w:hint="eastAsia" w:ascii="宋体" w:hAnsi="宋体"/>
          <w:sz w:val="24"/>
        </w:rPr>
        <w:t>3． 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94" w:lineRule="exact"/>
        <w:ind w:firstLine="480"/>
        <w:rPr>
          <w:rFonts w:ascii="宋体" w:hAnsi="宋体"/>
          <w:sz w:val="24"/>
        </w:rPr>
      </w:pPr>
      <w:r>
        <w:rPr>
          <w:rFonts w:hint="eastAsia" w:ascii="宋体" w:hAnsi="宋体"/>
          <w:sz w:val="24"/>
        </w:rPr>
        <w:t>4． 联合体各成员单位内部的职责分工如下：</w:t>
      </w:r>
    </w:p>
    <w:p>
      <w:pPr>
        <w:tabs>
          <w:tab w:val="left" w:pos="6300"/>
          <w:tab w:val="left" w:pos="8295"/>
        </w:tabs>
        <w:autoSpaceDE w:val="0"/>
        <w:autoSpaceDN w:val="0"/>
        <w:adjustRightInd w:val="0"/>
        <w:snapToGrid w:val="0"/>
        <w:spacing w:line="400" w:lineRule="exact"/>
        <w:ind w:left="780" w:leftChars="200" w:hanging="360" w:hangingChars="150"/>
        <w:jc w:val="left"/>
        <w:rPr>
          <w:rFonts w:ascii="宋体" w:hAnsi="宋体"/>
          <w:snapToGrid w:val="0"/>
          <w:kern w:val="0"/>
          <w:sz w:val="24"/>
        </w:rPr>
      </w:pPr>
      <w:r>
        <w:rPr>
          <w:rFonts w:hint="eastAsia" w:ascii="宋体" w:hAnsi="宋体"/>
          <w:sz w:val="24"/>
        </w:rPr>
        <w:t>牵头人（成员一）</w:t>
      </w:r>
      <w:r>
        <w:rPr>
          <w:rFonts w:hint="eastAsia" w:ascii="宋体" w:hAnsi="宋体"/>
          <w:snapToGrid w:val="0"/>
          <w:kern w:val="0"/>
          <w:sz w:val="24"/>
        </w:rPr>
        <w:t>名称：</w:t>
      </w:r>
      <w:r>
        <w:rPr>
          <w:rFonts w:hint="eastAsia" w:ascii="宋体" w:hAnsi="宋体"/>
          <w:snapToGrid w:val="0"/>
          <w:kern w:val="0"/>
          <w:sz w:val="24"/>
          <w:u w:val="single"/>
        </w:rPr>
        <w:t xml:space="preserve">         </w:t>
      </w:r>
      <w:r>
        <w:rPr>
          <w:rFonts w:hint="eastAsia" w:ascii="宋体" w:hAnsi="宋体"/>
          <w:snapToGrid w:val="0"/>
          <w:kern w:val="0"/>
          <w:sz w:val="24"/>
        </w:rPr>
        <w:t>，具有</w:t>
      </w:r>
      <w:r>
        <w:rPr>
          <w:rFonts w:hint="eastAsia" w:ascii="宋体" w:hAnsi="宋体"/>
          <w:snapToGrid w:val="0"/>
          <w:kern w:val="0"/>
          <w:sz w:val="24"/>
          <w:u w:val="single"/>
        </w:rPr>
        <w:t xml:space="preserve">            </w:t>
      </w:r>
      <w:r>
        <w:rPr>
          <w:rFonts w:hint="eastAsia" w:ascii="宋体" w:hAnsi="宋体"/>
          <w:snapToGrid w:val="0"/>
          <w:kern w:val="0"/>
          <w:sz w:val="24"/>
        </w:rPr>
        <w:t>资格，承担</w:t>
      </w:r>
      <w:r>
        <w:rPr>
          <w:rFonts w:hint="eastAsia" w:ascii="宋体" w:hAnsi="宋体"/>
          <w:snapToGrid w:val="0"/>
          <w:kern w:val="0"/>
          <w:sz w:val="24"/>
          <w:u w:val="single"/>
        </w:rPr>
        <w:t xml:space="preserve">       </w:t>
      </w:r>
      <w:r>
        <w:rPr>
          <w:rFonts w:hint="eastAsia" w:ascii="宋体" w:hAnsi="宋体"/>
          <w:snapToGrid w:val="0"/>
          <w:kern w:val="0"/>
          <w:sz w:val="24"/>
        </w:rPr>
        <w:t xml:space="preserve">  专业工程；</w:t>
      </w:r>
    </w:p>
    <w:p>
      <w:pPr>
        <w:spacing w:line="394" w:lineRule="exact"/>
        <w:ind w:firstLine="480"/>
        <w:rPr>
          <w:rFonts w:ascii="宋体" w:hAnsi="宋体"/>
          <w:snapToGrid w:val="0"/>
          <w:kern w:val="0"/>
          <w:sz w:val="24"/>
        </w:rPr>
      </w:pPr>
      <w:r>
        <w:rPr>
          <w:rFonts w:hint="eastAsia" w:ascii="宋体" w:hAnsi="宋体"/>
          <w:snapToGrid w:val="0"/>
          <w:kern w:val="0"/>
          <w:sz w:val="24"/>
        </w:rPr>
        <w:t>成员二名称：</w:t>
      </w:r>
      <w:r>
        <w:rPr>
          <w:rFonts w:hint="eastAsia" w:ascii="宋体" w:hAnsi="宋体"/>
          <w:snapToGrid w:val="0"/>
          <w:kern w:val="0"/>
          <w:sz w:val="24"/>
          <w:u w:val="single"/>
        </w:rPr>
        <w:t xml:space="preserve">                  </w:t>
      </w:r>
      <w:r>
        <w:rPr>
          <w:rFonts w:hint="eastAsia" w:ascii="宋体" w:hAnsi="宋体"/>
          <w:snapToGrid w:val="0"/>
          <w:kern w:val="0"/>
          <w:sz w:val="24"/>
        </w:rPr>
        <w:t xml:space="preserve"> ，具有</w:t>
      </w:r>
      <w:r>
        <w:rPr>
          <w:rFonts w:hint="eastAsia" w:ascii="宋体" w:hAnsi="宋体"/>
          <w:snapToGrid w:val="0"/>
          <w:kern w:val="0"/>
          <w:sz w:val="24"/>
          <w:u w:val="single"/>
        </w:rPr>
        <w:t xml:space="preserve">            </w:t>
      </w:r>
      <w:r>
        <w:rPr>
          <w:rFonts w:hint="eastAsia" w:ascii="宋体" w:hAnsi="宋体"/>
          <w:snapToGrid w:val="0"/>
          <w:kern w:val="0"/>
          <w:sz w:val="24"/>
        </w:rPr>
        <w:t>资格，承担</w:t>
      </w:r>
      <w:r>
        <w:rPr>
          <w:rFonts w:hint="eastAsia" w:ascii="宋体" w:hAnsi="宋体"/>
          <w:snapToGrid w:val="0"/>
          <w:kern w:val="0"/>
          <w:sz w:val="24"/>
          <w:u w:val="single"/>
        </w:rPr>
        <w:t xml:space="preserve">       </w:t>
      </w:r>
      <w:r>
        <w:rPr>
          <w:rFonts w:hint="eastAsia" w:ascii="宋体" w:hAnsi="宋体"/>
          <w:snapToGrid w:val="0"/>
          <w:kern w:val="0"/>
          <w:sz w:val="24"/>
        </w:rPr>
        <w:t xml:space="preserve">  专业工程；</w:t>
      </w:r>
    </w:p>
    <w:p>
      <w:pPr>
        <w:spacing w:line="394" w:lineRule="exact"/>
        <w:ind w:firstLine="480"/>
        <w:rPr>
          <w:rFonts w:ascii="宋体" w:hAnsi="宋体"/>
          <w:snapToGrid w:val="0"/>
          <w:kern w:val="0"/>
          <w:sz w:val="24"/>
        </w:rPr>
      </w:pPr>
      <w:r>
        <w:rPr>
          <w:rFonts w:hint="eastAsia" w:ascii="宋体" w:hAnsi="宋体"/>
          <w:snapToGrid w:val="0"/>
          <w:kern w:val="0"/>
          <w:sz w:val="24"/>
        </w:rPr>
        <w:t>……。</w:t>
      </w:r>
    </w:p>
    <w:p>
      <w:pPr>
        <w:spacing w:line="394" w:lineRule="exact"/>
        <w:ind w:firstLine="480"/>
        <w:rPr>
          <w:rFonts w:ascii="宋体" w:hAnsi="宋体"/>
          <w:sz w:val="24"/>
        </w:rPr>
      </w:pPr>
      <w:r>
        <w:rPr>
          <w:rFonts w:hint="eastAsia" w:ascii="宋体" w:hAnsi="宋体"/>
          <w:sz w:val="24"/>
        </w:rPr>
        <w:t>5． 投标工作和联合体在中标后工程实施过程中的有关费用按各自承担的工作量分摊。</w:t>
      </w:r>
    </w:p>
    <w:p>
      <w:pPr>
        <w:spacing w:line="394" w:lineRule="exact"/>
        <w:ind w:firstLine="480"/>
        <w:rPr>
          <w:rFonts w:ascii="宋体" w:hAnsi="宋体"/>
          <w:sz w:val="24"/>
        </w:rPr>
      </w:pPr>
      <w:r>
        <w:rPr>
          <w:rFonts w:hint="eastAsia" w:ascii="宋体" w:hAnsi="宋体"/>
          <w:sz w:val="24"/>
        </w:rPr>
        <w:t>6． 联合体中标后，本联合体协议是合同的附件，对联合体各成员单位有合同约束力。</w:t>
      </w:r>
    </w:p>
    <w:p>
      <w:pPr>
        <w:spacing w:line="394" w:lineRule="exact"/>
        <w:ind w:firstLine="480"/>
        <w:rPr>
          <w:rFonts w:ascii="宋体" w:hAnsi="宋体"/>
          <w:sz w:val="24"/>
        </w:rPr>
      </w:pPr>
      <w:r>
        <w:rPr>
          <w:rFonts w:hint="eastAsia" w:ascii="宋体" w:hAnsi="宋体"/>
          <w:sz w:val="24"/>
        </w:rPr>
        <w:t>7． 本协议书自签署之日起生效，联合体未中标或者合同履行完毕后自动失效。</w:t>
      </w:r>
    </w:p>
    <w:p>
      <w:pPr>
        <w:spacing w:line="394" w:lineRule="exact"/>
        <w:ind w:firstLine="480"/>
        <w:rPr>
          <w:rFonts w:ascii="宋体" w:hAnsi="宋体"/>
          <w:sz w:val="24"/>
        </w:rPr>
      </w:pPr>
      <w:r>
        <w:rPr>
          <w:rFonts w:hint="eastAsia" w:ascii="宋体" w:hAnsi="宋体"/>
          <w:sz w:val="24"/>
        </w:rPr>
        <w:t>8． 本协议书一式</w:t>
      </w:r>
      <w:r>
        <w:rPr>
          <w:rFonts w:hint="eastAsia" w:ascii="宋体" w:hAnsi="宋体"/>
          <w:sz w:val="24"/>
          <w:u w:val="single"/>
        </w:rPr>
        <w:t xml:space="preserve">            </w:t>
      </w:r>
      <w:r>
        <w:rPr>
          <w:rFonts w:hint="eastAsia" w:ascii="宋体" w:hAnsi="宋体"/>
          <w:sz w:val="24"/>
        </w:rPr>
        <w:t>份，联合体成员和招标人各执一份。</w:t>
      </w:r>
    </w:p>
    <w:p>
      <w:pPr>
        <w:spacing w:line="394" w:lineRule="exact"/>
        <w:ind w:firstLine="2040" w:firstLineChars="850"/>
        <w:rPr>
          <w:rFonts w:ascii="宋体" w:hAnsi="宋体"/>
          <w:sz w:val="24"/>
        </w:rPr>
      </w:pPr>
      <w:r>
        <w:rPr>
          <w:rFonts w:hint="eastAsia" w:ascii="宋体" w:hAnsi="宋体"/>
          <w:sz w:val="24"/>
        </w:rPr>
        <w:t>牵头人（成员一）名称：</w:t>
      </w:r>
      <w:r>
        <w:rPr>
          <w:rFonts w:hint="eastAsia" w:ascii="宋体" w:hAnsi="宋体"/>
          <w:sz w:val="24"/>
          <w:u w:val="single"/>
        </w:rPr>
        <w:t xml:space="preserve">                     </w:t>
      </w:r>
      <w:r>
        <w:rPr>
          <w:rFonts w:hint="eastAsia" w:ascii="宋体" w:hAnsi="宋体"/>
          <w:sz w:val="24"/>
        </w:rPr>
        <w:t>（盖单位章）</w:t>
      </w:r>
    </w:p>
    <w:p>
      <w:pPr>
        <w:spacing w:line="394" w:lineRule="exact"/>
        <w:ind w:firstLine="2040" w:firstLineChars="85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94" w:lineRule="exact"/>
        <w:ind w:firstLine="2040" w:firstLineChars="850"/>
        <w:rPr>
          <w:rFonts w:ascii="宋体" w:hAnsi="宋体"/>
          <w:sz w:val="24"/>
        </w:rPr>
      </w:pPr>
    </w:p>
    <w:p>
      <w:pPr>
        <w:spacing w:line="394" w:lineRule="exact"/>
        <w:ind w:firstLine="2040" w:firstLineChars="850"/>
        <w:rPr>
          <w:rFonts w:ascii="宋体" w:hAnsi="宋体"/>
          <w:sz w:val="24"/>
        </w:rPr>
      </w:pPr>
      <w:r>
        <w:rPr>
          <w:rFonts w:hint="eastAsia" w:ascii="宋体" w:hAnsi="宋体"/>
          <w:sz w:val="24"/>
        </w:rPr>
        <w:t>成员二名称：</w:t>
      </w:r>
      <w:r>
        <w:rPr>
          <w:rFonts w:hint="eastAsia" w:ascii="宋体" w:hAnsi="宋体"/>
          <w:sz w:val="24"/>
          <w:u w:val="single"/>
        </w:rPr>
        <w:t xml:space="preserve">                               </w:t>
      </w:r>
      <w:r>
        <w:rPr>
          <w:rFonts w:hint="eastAsia" w:ascii="宋体" w:hAnsi="宋体"/>
          <w:sz w:val="24"/>
        </w:rPr>
        <w:t>（盖单位章）</w:t>
      </w:r>
    </w:p>
    <w:p>
      <w:pPr>
        <w:spacing w:line="394" w:lineRule="exact"/>
        <w:ind w:firstLine="2040" w:firstLineChars="85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94" w:lineRule="exact"/>
        <w:ind w:firstLine="2400" w:firstLineChars="1000"/>
        <w:rPr>
          <w:rFonts w:ascii="宋体" w:hAnsi="宋体"/>
          <w:sz w:val="24"/>
        </w:rPr>
      </w:pPr>
      <w:r>
        <w:rPr>
          <w:rFonts w:hint="eastAsia" w:ascii="宋体" w:hAnsi="宋体"/>
          <w:sz w:val="24"/>
        </w:rPr>
        <w:t>……</w:t>
      </w:r>
    </w:p>
    <w:p>
      <w:pPr>
        <w:keepNext/>
        <w:keepLines/>
        <w:widowControl/>
        <w:spacing w:before="120" w:after="120" w:line="360" w:lineRule="auto"/>
        <w:ind w:firstLine="0" w:firstLineChars="0"/>
        <w:jc w:val="center"/>
        <w:outlineLvl w:val="2"/>
        <w:rPr>
          <w:sz w:val="24"/>
        </w:rPr>
      </w:pPr>
      <w:r>
        <w:rPr>
          <w:rFonts w:hint="eastAsia" w:ascii="宋体" w:hAnsi="宋体"/>
          <w:sz w:val="24"/>
          <w:u w:val="single"/>
        </w:rPr>
        <w:t xml:space="preserve">        </w:t>
      </w:r>
      <w:bookmarkStart w:id="650" w:name="_Toc133311793"/>
      <w:bookmarkStart w:id="651" w:name="_Toc138689456"/>
      <w:bookmarkStart w:id="652" w:name="_Toc131087931"/>
      <w:bookmarkStart w:id="653" w:name="_Toc76375419"/>
      <w:bookmarkStart w:id="654" w:name="_Toc53665201"/>
      <w:bookmarkStart w:id="655" w:name="_Toc98148209"/>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End w:id="650"/>
      <w:bookmarkEnd w:id="651"/>
      <w:bookmarkEnd w:id="652"/>
      <w:bookmarkEnd w:id="653"/>
      <w:bookmarkEnd w:id="654"/>
      <w:bookmarkEnd w:id="655"/>
    </w:p>
    <w:p>
      <w:pPr>
        <w:ind w:firstLine="0" w:firstLineChars="0"/>
        <w:jc w:val="center"/>
        <w:rPr>
          <w:szCs w:val="21"/>
        </w:rPr>
      </w:pPr>
    </w:p>
    <w:p>
      <w:pPr>
        <w:widowControl/>
        <w:ind w:firstLine="0" w:firstLineChars="0"/>
        <w:jc w:val="left"/>
        <w:rPr>
          <w:b/>
          <w:kern w:val="0"/>
          <w:sz w:val="32"/>
          <w:szCs w:val="20"/>
        </w:rPr>
      </w:pPr>
      <w:bookmarkStart w:id="656" w:name="_Toc36562875"/>
      <w:bookmarkStart w:id="657" w:name="_Toc14201409"/>
      <w:r>
        <w:rPr>
          <w:b/>
          <w:kern w:val="0"/>
          <w:sz w:val="32"/>
          <w:szCs w:val="20"/>
        </w:rPr>
        <w:br w:type="page"/>
      </w:r>
    </w:p>
    <w:bookmarkEnd w:id="656"/>
    <w:bookmarkEnd w:id="657"/>
    <w:p>
      <w:pPr>
        <w:pStyle w:val="6"/>
        <w:spacing w:line="560" w:lineRule="exact"/>
        <w:ind w:firstLine="643"/>
        <w:jc w:val="center"/>
        <w:rPr>
          <w:rFonts w:ascii="仿宋" w:hAnsi="仿宋" w:eastAsia="仿宋"/>
        </w:rPr>
      </w:pPr>
      <w:bookmarkStart w:id="658" w:name="_Toc460660229"/>
      <w:bookmarkStart w:id="659" w:name="_Toc460227114"/>
      <w:bookmarkStart w:id="660" w:name="_Toc98148210"/>
      <w:bookmarkStart w:id="661" w:name="_Toc133311794"/>
      <w:bookmarkStart w:id="662" w:name="_Toc131087932"/>
      <w:bookmarkStart w:id="663" w:name="_Toc76375420"/>
      <w:bookmarkStart w:id="664" w:name="_Toc138689457"/>
      <w:bookmarkStart w:id="665" w:name="_Toc36562876"/>
      <w:bookmarkStart w:id="666" w:name="_Toc14201410"/>
      <w:r>
        <w:rPr>
          <w:rFonts w:hint="eastAsia" w:ascii="仿宋" w:hAnsi="仿宋" w:eastAsia="仿宋"/>
        </w:rPr>
        <w:t>四、投标保证金</w:t>
      </w:r>
      <w:bookmarkEnd w:id="658"/>
      <w:bookmarkEnd w:id="659"/>
      <w:bookmarkEnd w:id="660"/>
      <w:bookmarkEnd w:id="661"/>
      <w:bookmarkEnd w:id="662"/>
      <w:bookmarkEnd w:id="663"/>
      <w:bookmarkEnd w:id="664"/>
    </w:p>
    <w:p>
      <w:pPr>
        <w:spacing w:line="440" w:lineRule="exact"/>
        <w:ind w:firstLine="630"/>
        <w:rPr>
          <w:rFonts w:hint="eastAsia" w:ascii="_x000B__x000C_" w:hAnsi="_x000B__x000C_"/>
        </w:rPr>
      </w:pPr>
      <w:r>
        <w:rPr>
          <w:rFonts w:hint="eastAsia" w:ascii="_x000B__x000C_" w:hAnsi="_x000B__x000C_"/>
        </w:rPr>
        <w:t>如采用现金（银行转账、银行电汇）的，系统自动抓取投标保证金提交信息，投标人应在投标文件中提供基本存款账户证明扫描件（如基本存款账户开户许可证或基本存款账户信息）。</w:t>
      </w:r>
    </w:p>
    <w:p>
      <w:pPr>
        <w:spacing w:line="440" w:lineRule="exact"/>
        <w:ind w:firstLine="630"/>
        <w:rPr>
          <w:rFonts w:hint="eastAsia" w:ascii="_x000B__x000C_" w:hAnsi="_x000B__x000C_"/>
        </w:rPr>
      </w:pPr>
      <w:r>
        <w:rPr>
          <w:rFonts w:hint="eastAsia" w:ascii="_x000B__x000C_" w:hAnsi="_x000B__x000C_"/>
        </w:rPr>
        <w:t>如采用纸质银行保函的，投标人应在投标文件中提供基本存款账户证明（如基本存款账户开户许可证或基本存款账户信息）、银行保函扫描件。银行保函格式见“投标保函示范文本”。</w:t>
      </w:r>
    </w:p>
    <w:p>
      <w:pPr>
        <w:spacing w:line="440" w:lineRule="exact"/>
        <w:ind w:firstLine="630"/>
        <w:rPr>
          <w:rFonts w:hint="eastAsia" w:ascii="_x000B__x000C_" w:hAnsi="_x000B__x000C_"/>
          <w:bCs/>
        </w:rPr>
      </w:pPr>
      <w:r>
        <w:rPr>
          <w:rFonts w:hint="eastAsia" w:ascii="_x000B__x000C_" w:hAnsi="_x000B__x000C_"/>
          <w:bCs/>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存款账户信息（或基本账户开户许可证）扫描件、保函扫描件、融资担保机构的融资担保业务经营许可证扫描件编入投标文件中。担保机构担保格式见“投标保函示范文本”。</w:t>
      </w:r>
    </w:p>
    <w:p>
      <w:pPr>
        <w:spacing w:line="440" w:lineRule="exact"/>
        <w:ind w:firstLine="630"/>
        <w:rPr>
          <w:rFonts w:hint="eastAsia" w:ascii="_x000B__x000C_" w:hAnsi="_x000B__x000C_"/>
          <w:bCs/>
        </w:rPr>
      </w:pPr>
      <w:r>
        <w:rPr>
          <w:rFonts w:hint="eastAsia" w:ascii="_x000B__x000C_" w:hAnsi="_x000B__x000C_"/>
          <w:bCs/>
        </w:rPr>
        <w:t>如采用纸质保证保险的，投标人须将本单位针对该项目（标段）从基本账户汇出保证保险费用的凭证（须载有所投项目标段编号或项目名称、投标人基本账户信息、收取该费用的保证保险出具单位名称及其账户信息）扫描件、基本存款账户信息（或基本账户开户许可证）扫描件、保证保险扫描件编入投标文件中。保证保险格式见“投标保函示范文本”。</w:t>
      </w:r>
    </w:p>
    <w:p>
      <w:pPr>
        <w:spacing w:line="360" w:lineRule="auto"/>
        <w:ind w:firstLine="480"/>
        <w:rPr>
          <w:bCs/>
          <w:sz w:val="24"/>
        </w:rPr>
      </w:pPr>
      <w:r>
        <w:rPr>
          <w:rFonts w:hint="eastAsia" w:ascii="_x000B__x000C_" w:hAnsi="_x000B__x000C_"/>
          <w:bCs/>
        </w:rPr>
        <w:t>如采用电子保函的，系统自动抓取电子保函信息，投标文件无需提供相关证明材料。</w:t>
      </w:r>
    </w:p>
    <w:p>
      <w:pPr>
        <w:ind w:firstLine="480"/>
        <w:rPr>
          <w:bCs/>
          <w:sz w:val="24"/>
        </w:rPr>
      </w:pPr>
      <w:r>
        <w:rPr>
          <w:rFonts w:hint="eastAsia"/>
          <w:bCs/>
          <w:sz w:val="24"/>
        </w:rPr>
        <w:br w:type="page"/>
      </w:r>
    </w:p>
    <w:p>
      <w:pPr>
        <w:pStyle w:val="6"/>
        <w:ind w:firstLine="643"/>
      </w:pPr>
    </w:p>
    <w:p>
      <w:pPr>
        <w:spacing w:line="360" w:lineRule="auto"/>
        <w:ind w:firstLine="422"/>
        <w:rPr>
          <w:rFonts w:ascii="_x000B__x000C_" w:hAnsi="_x000B__x000C_"/>
          <w:b/>
        </w:rPr>
      </w:pPr>
    </w:p>
    <w:p>
      <w:pPr>
        <w:tabs>
          <w:tab w:val="left" w:pos="8422"/>
          <w:tab w:val="left" w:pos="9622"/>
        </w:tabs>
        <w:spacing w:line="360" w:lineRule="auto"/>
        <w:ind w:firstLine="480"/>
        <w:jc w:val="center"/>
        <w:outlineLvl w:val="3"/>
        <w:rPr>
          <w:rFonts w:ascii="黑体" w:hAnsi="黑体" w:eastAsia="黑体" w:cs="黑体"/>
          <w:sz w:val="24"/>
        </w:rPr>
      </w:pPr>
      <w:r>
        <w:rPr>
          <w:rFonts w:hint="eastAsia" w:ascii="黑体" w:hAnsi="黑体" w:eastAsia="黑体" w:cs="黑体"/>
          <w:sz w:val="24"/>
        </w:rPr>
        <w:t>（一）投标保函示范文本</w:t>
      </w:r>
    </w:p>
    <w:p>
      <w:pPr>
        <w:tabs>
          <w:tab w:val="left" w:pos="8422"/>
          <w:tab w:val="left" w:pos="9622"/>
        </w:tabs>
        <w:spacing w:line="360" w:lineRule="auto"/>
        <w:ind w:right="105" w:rightChars="50" w:firstLine="4320" w:firstLineChars="1800"/>
        <w:jc w:val="center"/>
        <w:rPr>
          <w:sz w:val="24"/>
          <w:u w:val="single"/>
        </w:rPr>
      </w:pPr>
      <w:r>
        <w:rPr>
          <w:sz w:val="24"/>
        </w:rPr>
        <w:t>编号：</w:t>
      </w:r>
      <w:r>
        <w:rPr>
          <w:sz w:val="24"/>
          <w:u w:val="single"/>
        </w:rPr>
        <w:t xml:space="preserve">      </w:t>
      </w:r>
    </w:p>
    <w:p>
      <w:pPr>
        <w:tabs>
          <w:tab w:val="left" w:pos="8422"/>
          <w:tab w:val="left" w:pos="9622"/>
        </w:tabs>
        <w:spacing w:line="360" w:lineRule="auto"/>
        <w:ind w:right="105" w:rightChars="50" w:firstLine="480"/>
        <w:jc w:val="left"/>
        <w:rPr>
          <w:sz w:val="24"/>
        </w:rPr>
      </w:pPr>
    </w:p>
    <w:p>
      <w:pPr>
        <w:tabs>
          <w:tab w:val="left" w:pos="8422"/>
          <w:tab w:val="left" w:pos="9622"/>
        </w:tabs>
        <w:spacing w:line="360" w:lineRule="auto"/>
        <w:ind w:right="105" w:rightChars="50" w:firstLine="480"/>
        <w:jc w:val="left"/>
        <w:rPr>
          <w:sz w:val="24"/>
        </w:rPr>
      </w:pPr>
      <w:r>
        <w:rPr>
          <w:sz w:val="24"/>
        </w:rPr>
        <w:t>致：</w:t>
      </w:r>
      <w:r>
        <w:rPr>
          <w:sz w:val="24"/>
          <w:u w:val="single"/>
        </w:rPr>
        <w:t>受益人（招标人）名称</w:t>
      </w:r>
    </w:p>
    <w:p>
      <w:pPr>
        <w:tabs>
          <w:tab w:val="left" w:pos="8422"/>
          <w:tab w:val="left" w:pos="9622"/>
        </w:tabs>
        <w:spacing w:line="360" w:lineRule="auto"/>
        <w:ind w:right="105" w:rightChars="50" w:firstLine="480"/>
        <w:jc w:val="left"/>
        <w:rPr>
          <w:sz w:val="24"/>
        </w:rPr>
      </w:pPr>
      <w:r>
        <w:rPr>
          <w:sz w:val="24"/>
        </w:rPr>
        <w:t>开立人获得通知，</w:t>
      </w:r>
      <w:r>
        <w:rPr>
          <w:sz w:val="24"/>
          <w:u w:val="single"/>
        </w:rPr>
        <w:t xml:space="preserve">      </w:t>
      </w:r>
      <w:r>
        <w:rPr>
          <w:sz w:val="24"/>
        </w:rPr>
        <w:t>（投标人）</w:t>
      </w:r>
      <w:r>
        <w:rPr>
          <w:rFonts w:hint="eastAsia"/>
          <w:sz w:val="24"/>
        </w:rPr>
        <w:t>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sz w:val="24"/>
        </w:rPr>
        <w:t>参加编号为</w:t>
      </w:r>
      <w:r>
        <w:rPr>
          <w:sz w:val="24"/>
          <w:u w:val="single"/>
        </w:rPr>
        <w:t xml:space="preserve">      </w:t>
      </w:r>
      <w:r>
        <w:rPr>
          <w:sz w:val="24"/>
        </w:rPr>
        <w:t>（标段编号）的</w:t>
      </w:r>
      <w:r>
        <w:rPr>
          <w:sz w:val="24"/>
          <w:u w:val="single"/>
        </w:rPr>
        <w:t xml:space="preserve">      </w:t>
      </w:r>
      <w:r>
        <w:rPr>
          <w:sz w:val="24"/>
        </w:rPr>
        <w:t>（标段名称）投标（即</w:t>
      </w:r>
      <w:r>
        <w:rPr>
          <w:rFonts w:hint="eastAsia" w:ascii="宋体" w:hAnsi="宋体" w:cs="宋体"/>
          <w:sz w:val="24"/>
        </w:rPr>
        <w:t>“基础交易”</w:t>
      </w:r>
      <w:r>
        <w:rPr>
          <w:sz w:val="24"/>
        </w:rPr>
        <w:t>）。</w:t>
      </w:r>
    </w:p>
    <w:p>
      <w:pPr>
        <w:tabs>
          <w:tab w:val="left" w:pos="8422"/>
          <w:tab w:val="left" w:pos="9622"/>
        </w:tabs>
        <w:spacing w:line="360" w:lineRule="auto"/>
        <w:ind w:right="105" w:rightChars="50" w:firstLine="480"/>
        <w:jc w:val="left"/>
        <w:rPr>
          <w:sz w:val="24"/>
        </w:rPr>
      </w:pPr>
      <w:r>
        <w:rPr>
          <w:sz w:val="24"/>
        </w:rPr>
        <w:t>一、开立人理解根据招标条件，投标人必须提交一份投标保函（以下简称</w:t>
      </w:r>
      <w:r>
        <w:rPr>
          <w:rFonts w:hint="eastAsia" w:ascii="宋体" w:hAnsi="宋体" w:cs="宋体"/>
          <w:sz w:val="24"/>
        </w:rPr>
        <w:t>“本保函”</w:t>
      </w:r>
      <w:r>
        <w:rPr>
          <w:sz w:val="24"/>
        </w:rPr>
        <w:t>），以担保投标人诚信履行其在上述基础交易中承担的投标人义务。鉴此，应申请人要求，开立人在此同意向受益人出具此投标保函，本保函担保金额为人民币（大写）</w:t>
      </w:r>
      <w:r>
        <w:rPr>
          <w:sz w:val="24"/>
          <w:u w:val="single"/>
        </w:rPr>
        <w:t xml:space="preserve">      </w:t>
      </w:r>
      <w:r>
        <w:rPr>
          <w:sz w:val="24"/>
        </w:rPr>
        <w:t>元（¥</w:t>
      </w:r>
      <w:r>
        <w:rPr>
          <w:sz w:val="24"/>
          <w:u w:val="single"/>
        </w:rPr>
        <w:t xml:space="preserve">      </w:t>
      </w:r>
      <w:r>
        <w:rPr>
          <w:sz w:val="24"/>
        </w:rPr>
        <w:t>）。</w:t>
      </w:r>
    </w:p>
    <w:p>
      <w:pPr>
        <w:tabs>
          <w:tab w:val="left" w:pos="8422"/>
          <w:tab w:val="left" w:pos="9622"/>
        </w:tabs>
        <w:spacing w:line="360" w:lineRule="auto"/>
        <w:ind w:right="105" w:rightChars="50" w:firstLine="480"/>
        <w:jc w:val="left"/>
        <w:rPr>
          <w:sz w:val="24"/>
        </w:rPr>
      </w:pPr>
      <w:r>
        <w:rPr>
          <w:sz w:val="24"/>
        </w:rPr>
        <w:t xml:space="preserve">二、开立人在投标人发生以下情形时承担保证担保责任： </w:t>
      </w:r>
    </w:p>
    <w:p>
      <w:pPr>
        <w:tabs>
          <w:tab w:val="left" w:pos="8422"/>
          <w:tab w:val="left" w:pos="9622"/>
        </w:tabs>
        <w:spacing w:line="360" w:lineRule="auto"/>
        <w:ind w:right="105" w:rightChars="50" w:firstLine="480"/>
        <w:jc w:val="left"/>
        <w:rPr>
          <w:sz w:val="24"/>
        </w:rPr>
      </w:pPr>
      <w:r>
        <w:rPr>
          <w:sz w:val="24"/>
        </w:rPr>
        <w:t>（1）投标人在投标有效期内撤销投标文件；</w:t>
      </w:r>
    </w:p>
    <w:p>
      <w:pPr>
        <w:tabs>
          <w:tab w:val="left" w:pos="8422"/>
          <w:tab w:val="left" w:pos="9622"/>
        </w:tabs>
        <w:spacing w:line="360" w:lineRule="auto"/>
        <w:ind w:right="105" w:rightChars="50" w:firstLine="480"/>
        <w:jc w:val="left"/>
        <w:rPr>
          <w:sz w:val="24"/>
        </w:rPr>
      </w:pPr>
      <w:r>
        <w:rPr>
          <w:sz w:val="24"/>
        </w:rPr>
        <w:t>（2）投标人在中标后无正当理由不与招标人订立合同；</w:t>
      </w:r>
    </w:p>
    <w:p>
      <w:pPr>
        <w:tabs>
          <w:tab w:val="left" w:pos="8422"/>
          <w:tab w:val="left" w:pos="9622"/>
        </w:tabs>
        <w:spacing w:line="360" w:lineRule="auto"/>
        <w:ind w:right="105" w:rightChars="50" w:firstLine="480"/>
        <w:jc w:val="left"/>
        <w:rPr>
          <w:sz w:val="24"/>
        </w:rPr>
      </w:pPr>
      <w:r>
        <w:rPr>
          <w:sz w:val="24"/>
        </w:rPr>
        <w:t>（3）投标人在签订合同时向招标人提出附加条件；</w:t>
      </w:r>
    </w:p>
    <w:p>
      <w:pPr>
        <w:tabs>
          <w:tab w:val="left" w:pos="8422"/>
          <w:tab w:val="left" w:pos="9622"/>
        </w:tabs>
        <w:spacing w:line="360" w:lineRule="auto"/>
        <w:ind w:right="105" w:rightChars="50" w:firstLine="480"/>
        <w:jc w:val="left"/>
        <w:rPr>
          <w:sz w:val="24"/>
        </w:rPr>
      </w:pPr>
      <w:r>
        <w:rPr>
          <w:sz w:val="24"/>
        </w:rPr>
        <w:t>（4）投标人不按照招标文件要求提交履约保证金；</w:t>
      </w:r>
    </w:p>
    <w:p>
      <w:pPr>
        <w:tabs>
          <w:tab w:val="left" w:pos="8422"/>
          <w:tab w:val="left" w:pos="9622"/>
        </w:tabs>
        <w:spacing w:line="360" w:lineRule="auto"/>
        <w:ind w:right="105" w:rightChars="50" w:firstLine="480"/>
        <w:jc w:val="left"/>
        <w:rPr>
          <w:sz w:val="24"/>
        </w:rPr>
      </w:pPr>
      <w:r>
        <w:rPr>
          <w:sz w:val="24"/>
        </w:rPr>
        <w:t>（5）发生招标文件明确规定可以不予退还投标保证金的其他情形。</w:t>
      </w:r>
    </w:p>
    <w:p>
      <w:pPr>
        <w:tabs>
          <w:tab w:val="left" w:pos="8422"/>
          <w:tab w:val="left" w:pos="9622"/>
        </w:tabs>
        <w:spacing w:line="360" w:lineRule="auto"/>
        <w:ind w:right="105" w:rightChars="50" w:firstLine="480"/>
        <w:jc w:val="left"/>
        <w:rPr>
          <w:sz w:val="24"/>
        </w:rPr>
      </w:pPr>
      <w:r>
        <w:rPr>
          <w:sz w:val="24"/>
        </w:rPr>
        <w:t>三、本保函为不可撤销、不可转让的见索即付独立保函。本保函有效期自开立之日起至投标有效期届满之日止。</w:t>
      </w:r>
    </w:p>
    <w:p>
      <w:pPr>
        <w:tabs>
          <w:tab w:val="left" w:pos="8422"/>
          <w:tab w:val="left" w:pos="9622"/>
        </w:tabs>
        <w:spacing w:line="360" w:lineRule="auto"/>
        <w:ind w:right="105" w:rightChars="50" w:firstLine="480"/>
        <w:jc w:val="left"/>
        <w:rPr>
          <w:sz w:val="24"/>
        </w:rPr>
      </w:pPr>
      <w:r>
        <w:rPr>
          <w:sz w:val="24"/>
        </w:rPr>
        <w:t>四、开立人承诺，在收到受益人发来的书面付款通知后的七日内无条件支付，前述书面付款通知即为付款要求之单据，且应满足以下要求：</w:t>
      </w:r>
    </w:p>
    <w:p>
      <w:pPr>
        <w:tabs>
          <w:tab w:val="left" w:pos="8422"/>
          <w:tab w:val="left" w:pos="9622"/>
        </w:tabs>
        <w:spacing w:line="360" w:lineRule="auto"/>
        <w:ind w:right="105" w:rightChars="50" w:firstLine="480"/>
        <w:jc w:val="left"/>
        <w:rPr>
          <w:sz w:val="24"/>
        </w:rPr>
      </w:pPr>
      <w:r>
        <w:rPr>
          <w:sz w:val="24"/>
        </w:rPr>
        <w:t>（1）付款通知到达的日期在本保函的有效期内；</w:t>
      </w:r>
    </w:p>
    <w:p>
      <w:pPr>
        <w:tabs>
          <w:tab w:val="left" w:pos="8422"/>
          <w:tab w:val="left" w:pos="9622"/>
        </w:tabs>
        <w:spacing w:line="360" w:lineRule="auto"/>
        <w:ind w:right="105" w:rightChars="50" w:firstLine="480"/>
        <w:jc w:val="left"/>
        <w:rPr>
          <w:sz w:val="24"/>
        </w:rPr>
      </w:pPr>
      <w:r>
        <w:rPr>
          <w:sz w:val="24"/>
        </w:rPr>
        <w:t>（2）载明要求支付的金额；</w:t>
      </w:r>
    </w:p>
    <w:p>
      <w:pPr>
        <w:tabs>
          <w:tab w:val="left" w:pos="8422"/>
          <w:tab w:val="left" w:pos="9622"/>
        </w:tabs>
        <w:spacing w:line="360" w:lineRule="auto"/>
        <w:ind w:right="105" w:rightChars="50" w:firstLine="480"/>
        <w:jc w:val="left"/>
        <w:rPr>
          <w:sz w:val="24"/>
        </w:rPr>
      </w:pPr>
      <w:r>
        <w:rPr>
          <w:sz w:val="24"/>
        </w:rPr>
        <w:t>（3）载明申请人违反招投标文件规定的义务内容和具体条款；</w:t>
      </w:r>
    </w:p>
    <w:p>
      <w:pPr>
        <w:tabs>
          <w:tab w:val="left" w:pos="8422"/>
          <w:tab w:val="left" w:pos="9622"/>
        </w:tabs>
        <w:spacing w:line="360" w:lineRule="auto"/>
        <w:ind w:right="105" w:rightChars="50" w:firstLine="480"/>
        <w:jc w:val="left"/>
        <w:rPr>
          <w:sz w:val="24"/>
        </w:rPr>
      </w:pPr>
      <w:r>
        <w:rPr>
          <w:sz w:val="24"/>
        </w:rPr>
        <w:t>（4）声明不存在招标文件规定或我国法律规定免除申请人或我方支付责任的情形；</w:t>
      </w:r>
    </w:p>
    <w:p>
      <w:pPr>
        <w:tabs>
          <w:tab w:val="left" w:pos="8422"/>
          <w:tab w:val="left" w:pos="9622"/>
        </w:tabs>
        <w:spacing w:line="360" w:lineRule="auto"/>
        <w:ind w:right="105" w:rightChars="50" w:firstLine="480"/>
        <w:jc w:val="left"/>
        <w:rPr>
          <w:sz w:val="24"/>
        </w:rPr>
      </w:pPr>
      <w:r>
        <w:rPr>
          <w:sz w:val="24"/>
        </w:rPr>
        <w:t>（5）书面付款通知应在本保函有效期内到达的地址是：</w:t>
      </w:r>
      <w:r>
        <w:rPr>
          <w:sz w:val="24"/>
          <w:u w:val="single"/>
        </w:rPr>
        <w:t xml:space="preserve">      </w:t>
      </w:r>
      <w:r>
        <w:rPr>
          <w:sz w:val="24"/>
        </w:rPr>
        <w:t>。</w:t>
      </w:r>
    </w:p>
    <w:p>
      <w:pPr>
        <w:tabs>
          <w:tab w:val="left" w:pos="8422"/>
          <w:tab w:val="left" w:pos="9622"/>
        </w:tabs>
        <w:spacing w:line="360" w:lineRule="auto"/>
        <w:ind w:right="105" w:rightChars="50" w:firstLine="480"/>
        <w:jc w:val="left"/>
        <w:rPr>
          <w:sz w:val="24"/>
        </w:rPr>
      </w:pPr>
      <w:r>
        <w:rPr>
          <w:sz w:val="24"/>
        </w:rPr>
        <w:t>受益人发出的书面付款通知应由其法定代表人（负责人）或授权代理人签字并加盖公章。</w:t>
      </w:r>
    </w:p>
    <w:p>
      <w:pPr>
        <w:tabs>
          <w:tab w:val="left" w:pos="8422"/>
          <w:tab w:val="left" w:pos="9622"/>
        </w:tabs>
        <w:spacing w:line="360" w:lineRule="auto"/>
        <w:ind w:right="105" w:rightChars="50" w:firstLine="480"/>
        <w:jc w:val="left"/>
        <w:rPr>
          <w:sz w:val="24"/>
        </w:rPr>
      </w:pPr>
      <w:r>
        <w:rPr>
          <w:sz w:val="24"/>
        </w:rPr>
        <w:t xml:space="preserve">五、本保函项下的权利不得转让，不得设定担保。受益人未经开立人书面同意转让本保函或其项下任何权利，对开立人不发生法律效力。 </w:t>
      </w:r>
    </w:p>
    <w:p>
      <w:pPr>
        <w:tabs>
          <w:tab w:val="left" w:pos="8422"/>
          <w:tab w:val="left" w:pos="9622"/>
        </w:tabs>
        <w:spacing w:line="360" w:lineRule="auto"/>
        <w:ind w:right="105" w:rightChars="50" w:firstLine="480"/>
        <w:jc w:val="left"/>
        <w:rPr>
          <w:sz w:val="24"/>
        </w:rPr>
      </w:pPr>
      <w:r>
        <w:rPr>
          <w:sz w:val="24"/>
        </w:rPr>
        <w:t>六、本保函项下的基础交易不成立、不生效、无效、被撤销、被解除，不影响本保函的独立有效。</w:t>
      </w:r>
    </w:p>
    <w:p>
      <w:pPr>
        <w:tabs>
          <w:tab w:val="left" w:pos="8422"/>
          <w:tab w:val="left" w:pos="9622"/>
        </w:tabs>
        <w:spacing w:line="360" w:lineRule="auto"/>
        <w:ind w:right="105" w:rightChars="50" w:firstLine="480"/>
        <w:jc w:val="left"/>
        <w:rPr>
          <w:sz w:val="24"/>
        </w:rPr>
      </w:pPr>
      <w:r>
        <w:rPr>
          <w:sz w:val="24"/>
        </w:rPr>
        <w:t xml:space="preserve">七、本保函项下的义务和责任均在保函有效期到期后自动消灭。 </w:t>
      </w:r>
    </w:p>
    <w:p>
      <w:pPr>
        <w:tabs>
          <w:tab w:val="left" w:pos="8422"/>
          <w:tab w:val="left" w:pos="9622"/>
        </w:tabs>
        <w:spacing w:line="360" w:lineRule="auto"/>
        <w:ind w:right="105" w:rightChars="50" w:firstLine="480"/>
        <w:jc w:val="left"/>
        <w:rPr>
          <w:sz w:val="24"/>
        </w:rPr>
      </w:pPr>
      <w:r>
        <w:rPr>
          <w:sz w:val="24"/>
        </w:rPr>
        <w:t xml:space="preserve">八、本保函适用的法律为中华人民共和国法律，因本保函产生的纠纷案件，由受益人所在地人民法院管辖。 </w:t>
      </w:r>
    </w:p>
    <w:p>
      <w:pPr>
        <w:tabs>
          <w:tab w:val="left" w:pos="8422"/>
          <w:tab w:val="left" w:pos="9622"/>
        </w:tabs>
        <w:spacing w:line="360" w:lineRule="auto"/>
        <w:ind w:right="105" w:rightChars="50" w:firstLine="480"/>
        <w:jc w:val="left"/>
        <w:rPr>
          <w:sz w:val="24"/>
        </w:rPr>
      </w:pPr>
      <w:r>
        <w:rPr>
          <w:sz w:val="24"/>
        </w:rPr>
        <w:t xml:space="preserve">九、本保函自我方法定代表人或授权代表签字并加盖公章之日起生效。 </w:t>
      </w:r>
    </w:p>
    <w:p>
      <w:pPr>
        <w:tabs>
          <w:tab w:val="left" w:pos="8422"/>
          <w:tab w:val="left" w:pos="9622"/>
        </w:tabs>
        <w:spacing w:line="360" w:lineRule="auto"/>
        <w:ind w:right="105" w:rightChars="50" w:firstLine="480"/>
        <w:jc w:val="left"/>
        <w:rPr>
          <w:sz w:val="24"/>
        </w:rPr>
      </w:pPr>
    </w:p>
    <w:p>
      <w:pPr>
        <w:tabs>
          <w:tab w:val="left" w:pos="8422"/>
          <w:tab w:val="left" w:pos="9622"/>
        </w:tabs>
        <w:spacing w:line="360" w:lineRule="auto"/>
        <w:ind w:right="105" w:rightChars="50" w:firstLine="480"/>
        <w:jc w:val="left"/>
        <w:rPr>
          <w:sz w:val="24"/>
        </w:rPr>
      </w:pPr>
      <w:r>
        <w:rPr>
          <w:sz w:val="24"/>
        </w:rPr>
        <w:t>开立人：</w:t>
      </w:r>
      <w:r>
        <w:rPr>
          <w:sz w:val="24"/>
          <w:u w:val="single"/>
        </w:rPr>
        <w:t xml:space="preserve">                                </w:t>
      </w:r>
      <w:r>
        <w:rPr>
          <w:sz w:val="24"/>
        </w:rPr>
        <w:t>（公章）</w:t>
      </w:r>
    </w:p>
    <w:p>
      <w:pPr>
        <w:tabs>
          <w:tab w:val="left" w:pos="8422"/>
          <w:tab w:val="left" w:pos="9622"/>
        </w:tabs>
        <w:spacing w:line="360" w:lineRule="auto"/>
        <w:ind w:right="105" w:rightChars="50" w:firstLine="480"/>
        <w:jc w:val="left"/>
        <w:rPr>
          <w:sz w:val="24"/>
        </w:rPr>
      </w:pPr>
      <w:r>
        <w:rPr>
          <w:sz w:val="24"/>
        </w:rPr>
        <w:t>法定代表人（或授权代表）：</w:t>
      </w:r>
      <w:r>
        <w:rPr>
          <w:sz w:val="24"/>
          <w:u w:val="single"/>
        </w:rPr>
        <w:t xml:space="preserve">               </w:t>
      </w:r>
      <w:r>
        <w:rPr>
          <w:sz w:val="24"/>
        </w:rPr>
        <w:t>（签字）</w:t>
      </w:r>
    </w:p>
    <w:p>
      <w:pPr>
        <w:tabs>
          <w:tab w:val="left" w:pos="8422"/>
          <w:tab w:val="left" w:pos="9622"/>
        </w:tabs>
        <w:spacing w:line="360" w:lineRule="auto"/>
        <w:ind w:right="105" w:rightChars="50" w:firstLine="480"/>
        <w:jc w:val="left"/>
        <w:rPr>
          <w:sz w:val="24"/>
        </w:rPr>
      </w:pPr>
      <w:r>
        <w:rPr>
          <w:sz w:val="24"/>
        </w:rPr>
        <w:t>地    址：</w:t>
      </w:r>
      <w:r>
        <w:rPr>
          <w:sz w:val="24"/>
          <w:u w:val="single"/>
        </w:rPr>
        <w:t xml:space="preserve">                                     </w:t>
      </w:r>
    </w:p>
    <w:p>
      <w:pPr>
        <w:tabs>
          <w:tab w:val="left" w:pos="8422"/>
          <w:tab w:val="left" w:pos="9622"/>
        </w:tabs>
        <w:spacing w:line="360" w:lineRule="auto"/>
        <w:ind w:right="105" w:rightChars="50" w:firstLine="480"/>
        <w:jc w:val="left"/>
        <w:rPr>
          <w:sz w:val="24"/>
        </w:rPr>
      </w:pPr>
      <w:r>
        <w:rPr>
          <w:sz w:val="24"/>
        </w:rPr>
        <w:t>邮政编码：</w:t>
      </w:r>
      <w:r>
        <w:rPr>
          <w:sz w:val="24"/>
          <w:u w:val="single"/>
        </w:rPr>
        <w:t xml:space="preserve">                 </w:t>
      </w:r>
    </w:p>
    <w:p>
      <w:pPr>
        <w:tabs>
          <w:tab w:val="left" w:pos="8422"/>
          <w:tab w:val="left" w:pos="9622"/>
        </w:tabs>
        <w:spacing w:line="360" w:lineRule="auto"/>
        <w:ind w:right="105" w:rightChars="50" w:firstLine="480"/>
        <w:jc w:val="left"/>
        <w:rPr>
          <w:sz w:val="24"/>
        </w:rPr>
      </w:pPr>
      <w:r>
        <w:rPr>
          <w:sz w:val="24"/>
        </w:rPr>
        <w:t>电    话：</w:t>
      </w:r>
      <w:r>
        <w:rPr>
          <w:sz w:val="24"/>
          <w:u w:val="single"/>
        </w:rPr>
        <w:t xml:space="preserve">                 </w:t>
      </w:r>
    </w:p>
    <w:p>
      <w:pPr>
        <w:tabs>
          <w:tab w:val="left" w:pos="8422"/>
          <w:tab w:val="left" w:pos="9622"/>
        </w:tabs>
        <w:spacing w:line="360" w:lineRule="auto"/>
        <w:ind w:right="105" w:rightChars="50" w:firstLine="480"/>
        <w:jc w:val="left"/>
        <w:rPr>
          <w:sz w:val="24"/>
        </w:rPr>
      </w:pPr>
      <w:r>
        <w:rPr>
          <w:sz w:val="24"/>
        </w:rPr>
        <w:t>传    真：</w:t>
      </w:r>
      <w:r>
        <w:rPr>
          <w:sz w:val="24"/>
          <w:u w:val="single"/>
        </w:rPr>
        <w:t xml:space="preserve">                 </w:t>
      </w:r>
    </w:p>
    <w:p>
      <w:pPr>
        <w:tabs>
          <w:tab w:val="left" w:pos="8422"/>
          <w:tab w:val="left" w:pos="9622"/>
        </w:tabs>
        <w:spacing w:line="360" w:lineRule="auto"/>
        <w:ind w:right="105" w:rightChars="50" w:firstLine="480"/>
        <w:jc w:val="left"/>
        <w:rPr>
          <w:sz w:val="24"/>
        </w:rPr>
      </w:pPr>
      <w:r>
        <w:rPr>
          <w:sz w:val="24"/>
        </w:rPr>
        <w:t>开立时间：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8422"/>
          <w:tab w:val="left" w:pos="9622"/>
        </w:tabs>
        <w:spacing w:line="360" w:lineRule="auto"/>
        <w:ind w:right="105" w:rightChars="50" w:firstLine="482"/>
        <w:jc w:val="left"/>
        <w:rPr>
          <w:b/>
          <w:sz w:val="24"/>
        </w:rPr>
      </w:pPr>
    </w:p>
    <w:p>
      <w:pPr>
        <w:tabs>
          <w:tab w:val="left" w:pos="8422"/>
          <w:tab w:val="left" w:pos="9622"/>
        </w:tabs>
        <w:spacing w:line="360" w:lineRule="auto"/>
        <w:ind w:right="105" w:rightChars="50" w:firstLine="480"/>
        <w:jc w:val="left"/>
        <w:rPr>
          <w:sz w:val="24"/>
        </w:rPr>
      </w:pPr>
    </w:p>
    <w:p>
      <w:pPr>
        <w:adjustRightInd w:val="0"/>
        <w:snapToGrid w:val="0"/>
        <w:spacing w:line="360" w:lineRule="auto"/>
        <w:ind w:firstLine="480"/>
        <w:jc w:val="left"/>
        <w:rPr>
          <w:bCs/>
          <w:snapToGrid w:val="0"/>
          <w:sz w:val="24"/>
        </w:rPr>
      </w:pPr>
      <w:r>
        <w:rPr>
          <w:bCs/>
          <w:snapToGrid w:val="0"/>
          <w:sz w:val="24"/>
        </w:rPr>
        <w:t>注：1.允许投标人实际开具的银行保函或担保机构或保证保险机构出具的担保的格式与本文件提供的格式有所不同，但不得更改本文件提供的银行保函或担保格式中的实质性内容。</w:t>
      </w:r>
    </w:p>
    <w:p>
      <w:pPr>
        <w:spacing w:line="360" w:lineRule="auto"/>
        <w:ind w:firstLine="480"/>
        <w:rPr>
          <w:b/>
          <w:kern w:val="0"/>
          <w:sz w:val="32"/>
          <w:szCs w:val="20"/>
        </w:rPr>
      </w:pPr>
      <w:r>
        <w:rPr>
          <w:bCs/>
          <w:snapToGrid w:val="0"/>
          <w:sz w:val="24"/>
        </w:rPr>
        <w:t>2.投标人开具的银行保函（或担保机构担保或保证保险）必须具有明确有效的查询途径（网址链接及查询方式）。</w:t>
      </w:r>
      <w:r>
        <w:rPr>
          <w:rFonts w:hint="eastAsia"/>
          <w:b/>
          <w:kern w:val="0"/>
          <w:sz w:val="32"/>
          <w:szCs w:val="20"/>
        </w:rPr>
        <w:br w:type="page"/>
      </w:r>
    </w:p>
    <w:p>
      <w:pPr>
        <w:tabs>
          <w:tab w:val="left" w:pos="8422"/>
          <w:tab w:val="left" w:pos="9622"/>
        </w:tabs>
        <w:spacing w:line="360" w:lineRule="auto"/>
        <w:ind w:right="105" w:rightChars="50" w:firstLine="482"/>
        <w:jc w:val="center"/>
        <w:rPr>
          <w:rFonts w:ascii="_x000B__x000C_" w:hAnsi="_x000B__x000C_"/>
          <w:b/>
          <w:sz w:val="24"/>
        </w:rPr>
      </w:pPr>
      <w:r>
        <w:rPr>
          <w:rFonts w:hint="eastAsia" w:ascii="_x000B__x000C_" w:hAnsi="_x000B__x000C_"/>
          <w:b/>
          <w:sz w:val="24"/>
        </w:rPr>
        <w:t>（二）</w:t>
      </w:r>
      <w:r>
        <w:rPr>
          <w:rFonts w:hint="eastAsia" w:ascii="宋体" w:hAnsi="宋体" w:cs="宋体"/>
          <w:b/>
          <w:bCs/>
          <w:kern w:val="0"/>
          <w:sz w:val="24"/>
        </w:rPr>
        <w:t>投标人免缴投标保证金信用承诺函</w:t>
      </w:r>
    </w:p>
    <w:p>
      <w:pPr>
        <w:tabs>
          <w:tab w:val="left" w:pos="8422"/>
          <w:tab w:val="left" w:pos="9622"/>
        </w:tabs>
        <w:spacing w:line="360" w:lineRule="auto"/>
        <w:ind w:right="105" w:rightChars="50" w:firstLine="482"/>
        <w:jc w:val="center"/>
        <w:rPr>
          <w:rFonts w:ascii="_x000B__x000C_" w:hAnsi="_x000B__x000C_"/>
          <w:b/>
          <w:sz w:val="24"/>
        </w:rPr>
      </w:pPr>
    </w:p>
    <w:p>
      <w:pPr>
        <w:spacing w:line="560" w:lineRule="exact"/>
        <w:ind w:firstLine="0" w:firstLineChars="0"/>
        <w:rPr>
          <w:rFonts w:ascii="宋体" w:hAnsi="宋体"/>
          <w:sz w:val="24"/>
        </w:rPr>
      </w:pPr>
      <w:r>
        <w:rPr>
          <w:rFonts w:ascii="宋体" w:hAnsi="宋体"/>
          <w:bCs/>
          <w:sz w:val="24"/>
        </w:rPr>
        <w:t>致：</w:t>
      </w:r>
      <w:r>
        <w:rPr>
          <w:rFonts w:ascii="宋体" w:hAnsi="宋体"/>
          <w:sz w:val="24"/>
          <w:u w:val="single"/>
        </w:rPr>
        <w:t xml:space="preserve">           </w:t>
      </w:r>
      <w:r>
        <w:rPr>
          <w:rFonts w:ascii="宋体" w:hAnsi="宋体"/>
          <w:bCs/>
          <w:sz w:val="24"/>
        </w:rPr>
        <w:t>(招标人名称)</w:t>
      </w:r>
    </w:p>
    <w:p>
      <w:pPr>
        <w:spacing w:line="560" w:lineRule="exact"/>
        <w:ind w:firstLine="420" w:firstLineChars="0"/>
        <w:rPr>
          <w:rFonts w:ascii="宋体" w:hAnsi="宋体"/>
          <w:sz w:val="24"/>
        </w:rPr>
      </w:pPr>
      <w:r>
        <w:rPr>
          <w:rFonts w:ascii="宋体" w:hAnsi="宋体"/>
          <w:sz w:val="24"/>
        </w:rPr>
        <w:t>按照招标文件的规定，我单位郑重承诺如下：</w:t>
      </w:r>
    </w:p>
    <w:p>
      <w:pPr>
        <w:spacing w:line="560" w:lineRule="exact"/>
        <w:ind w:firstLine="420" w:firstLineChars="0"/>
        <w:rPr>
          <w:rFonts w:ascii="宋体" w:hAnsi="宋体"/>
          <w:sz w:val="24"/>
        </w:rPr>
      </w:pPr>
      <w:r>
        <w:rPr>
          <w:rFonts w:ascii="宋体" w:hAnsi="宋体"/>
          <w:sz w:val="24"/>
        </w:rPr>
        <w:t>我单位将严格遵守《中华人民共和国招标投标法》等法律、法规</w:t>
      </w:r>
      <w:r>
        <w:rPr>
          <w:rFonts w:hint="eastAsia" w:ascii="宋体" w:hAnsi="宋体"/>
          <w:sz w:val="24"/>
        </w:rPr>
        <w:t>和招标文件约定条款</w:t>
      </w:r>
      <w:r>
        <w:rPr>
          <w:rFonts w:ascii="宋体" w:hAnsi="宋体"/>
          <w:sz w:val="24"/>
        </w:rPr>
        <w:t>。如果存在招标文件约定的投标保证金不予退还的情形，将于收到招标人书面通知7日内将招标文件约定的投标保证金足额缴纳至招标人指定账户。</w:t>
      </w:r>
    </w:p>
    <w:p>
      <w:pPr>
        <w:spacing w:line="560" w:lineRule="exact"/>
        <w:ind w:firstLine="420" w:firstLineChars="0"/>
        <w:rPr>
          <w:rFonts w:ascii="宋体" w:hAnsi="宋体"/>
          <w:sz w:val="24"/>
        </w:rPr>
      </w:pPr>
      <w:r>
        <w:rPr>
          <w:rFonts w:ascii="宋体" w:hAnsi="宋体"/>
          <w:sz w:val="24"/>
        </w:rPr>
        <w:t>我单位对上述承诺的真实性负责。如有虚假，我单位愿意承担弄虚作假法律责任。</w:t>
      </w:r>
    </w:p>
    <w:p>
      <w:pPr>
        <w:tabs>
          <w:tab w:val="left" w:pos="8422"/>
          <w:tab w:val="left" w:pos="9622"/>
        </w:tabs>
        <w:spacing w:line="560" w:lineRule="exact"/>
        <w:ind w:firstLine="0" w:firstLineChars="0"/>
        <w:rPr>
          <w:rFonts w:ascii="宋体" w:hAnsi="宋体"/>
          <w:sz w:val="24"/>
        </w:rPr>
      </w:pPr>
    </w:p>
    <w:p>
      <w:pPr>
        <w:tabs>
          <w:tab w:val="left" w:pos="8422"/>
          <w:tab w:val="left" w:pos="9622"/>
        </w:tabs>
        <w:spacing w:line="360" w:lineRule="auto"/>
        <w:ind w:right="105" w:rightChars="50" w:firstLine="0" w:firstLineChars="0"/>
        <w:jc w:val="left"/>
        <w:rPr>
          <w:rFonts w:ascii="宋体" w:hAnsi="宋体" w:cs="宋体"/>
          <w:sz w:val="24"/>
        </w:rPr>
      </w:pPr>
      <w:r>
        <w:rPr>
          <w:rFonts w:hint="eastAsia" w:ascii="宋体" w:hAnsi="宋体"/>
          <w:sz w:val="24"/>
        </w:rPr>
        <w:t xml:space="preserve">     </w:t>
      </w:r>
    </w:p>
    <w:p>
      <w:pPr>
        <w:adjustRightInd w:val="0"/>
        <w:snapToGrid w:val="0"/>
        <w:spacing w:line="360" w:lineRule="auto"/>
        <w:ind w:firstLine="0" w:firstLineChars="0"/>
        <w:jc w:val="right"/>
        <w:rPr>
          <w:rFonts w:ascii="宋体" w:hAnsi="宋体" w:cs="仿宋_GB2312"/>
          <w:bCs/>
          <w:sz w:val="24"/>
          <w:u w:val="single"/>
        </w:rPr>
      </w:pPr>
      <w:r>
        <w:rPr>
          <w:rFonts w:hint="eastAsia" w:ascii="宋体" w:hAnsi="宋体" w:cs="仿宋_GB2312"/>
          <w:bCs/>
          <w:spacing w:val="120"/>
          <w:kern w:val="0"/>
          <w:sz w:val="24"/>
          <w:fitText w:val="1200" w:id="-1231310846"/>
        </w:rPr>
        <w:t>投标</w:t>
      </w:r>
      <w:r>
        <w:rPr>
          <w:rFonts w:hint="eastAsia" w:ascii="宋体" w:hAnsi="宋体" w:cs="仿宋_GB2312"/>
          <w:bCs/>
          <w:spacing w:val="0"/>
          <w:kern w:val="0"/>
          <w:sz w:val="24"/>
          <w:fitText w:val="1200" w:id="-1231310846"/>
        </w:rPr>
        <w:t>人</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（盖单位章）</w:t>
      </w:r>
    </w:p>
    <w:p>
      <w:pPr>
        <w:spacing w:line="360" w:lineRule="auto"/>
        <w:ind w:firstLine="1920"/>
        <w:jc w:val="right"/>
        <w:rPr>
          <w:rFonts w:ascii="宋体" w:hAnsi="宋体" w:cs="仿宋_GB2312"/>
          <w:szCs w:val="21"/>
        </w:rPr>
      </w:pPr>
      <w:r>
        <w:rPr>
          <w:rFonts w:hint="eastAsia" w:ascii="宋体" w:hAnsi="宋体" w:cs="仿宋_GB2312"/>
          <w:bCs/>
          <w:spacing w:val="360"/>
          <w:kern w:val="0"/>
          <w:sz w:val="24"/>
          <w:fitText w:val="1200" w:id="-1231310845"/>
        </w:rPr>
        <w:t>日</w:t>
      </w:r>
      <w:r>
        <w:rPr>
          <w:rFonts w:hint="eastAsia" w:ascii="宋体" w:hAnsi="宋体" w:cs="仿宋_GB2312"/>
          <w:bCs/>
          <w:spacing w:val="0"/>
          <w:kern w:val="0"/>
          <w:sz w:val="24"/>
          <w:fitText w:val="1200" w:id="-1231310845"/>
        </w:rPr>
        <w:t>期</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pPr>
        <w:widowControl/>
        <w:ind w:firstLine="0" w:firstLineChars="0"/>
        <w:jc w:val="left"/>
        <w:rPr>
          <w:rFonts w:ascii="宋体" w:hAnsi="宋体" w:cs="仿宋_GB2312"/>
          <w:szCs w:val="21"/>
        </w:rPr>
      </w:pPr>
      <w:r>
        <w:rPr>
          <w:rFonts w:ascii="宋体" w:hAnsi="宋体" w:cs="仿宋_GB2312"/>
          <w:szCs w:val="21"/>
        </w:rPr>
        <w:br w:type="page"/>
      </w:r>
    </w:p>
    <w:p>
      <w:pPr>
        <w:spacing w:line="360" w:lineRule="auto"/>
        <w:ind w:firstLine="643"/>
        <w:rPr>
          <w:b/>
          <w:kern w:val="0"/>
          <w:sz w:val="32"/>
          <w:szCs w:val="20"/>
        </w:rPr>
      </w:pPr>
    </w:p>
    <w:p>
      <w:pPr>
        <w:keepNext/>
        <w:keepLines/>
        <w:widowControl/>
        <w:spacing w:before="120" w:after="120" w:line="360" w:lineRule="auto"/>
        <w:ind w:firstLine="0" w:firstLineChars="0"/>
        <w:jc w:val="center"/>
        <w:outlineLvl w:val="2"/>
        <w:rPr>
          <w:b/>
          <w:kern w:val="0"/>
          <w:sz w:val="32"/>
          <w:szCs w:val="20"/>
        </w:rPr>
      </w:pPr>
      <w:bookmarkStart w:id="667" w:name="_Toc98148211"/>
      <w:bookmarkStart w:id="668" w:name="_Toc133311795"/>
      <w:bookmarkStart w:id="669" w:name="_Toc53665203"/>
      <w:bookmarkStart w:id="670" w:name="_Toc138689458"/>
      <w:bookmarkStart w:id="671" w:name="_Toc76375421"/>
      <w:bookmarkStart w:id="672" w:name="_Toc131087933"/>
      <w:r>
        <w:rPr>
          <w:rFonts w:hint="eastAsia"/>
          <w:b/>
          <w:kern w:val="0"/>
          <w:sz w:val="32"/>
          <w:szCs w:val="20"/>
        </w:rPr>
        <w:t>五、项目管理机构</w:t>
      </w:r>
      <w:bookmarkEnd w:id="665"/>
      <w:bookmarkEnd w:id="666"/>
      <w:bookmarkEnd w:id="667"/>
      <w:bookmarkEnd w:id="668"/>
      <w:bookmarkEnd w:id="669"/>
      <w:bookmarkEnd w:id="670"/>
      <w:bookmarkEnd w:id="671"/>
      <w:bookmarkEnd w:id="672"/>
    </w:p>
    <w:p>
      <w:pPr>
        <w:autoSpaceDE w:val="0"/>
        <w:autoSpaceDN w:val="0"/>
        <w:adjustRightInd w:val="0"/>
        <w:snapToGrid w:val="0"/>
        <w:spacing w:line="360" w:lineRule="auto"/>
        <w:ind w:firstLine="0" w:firstLineChars="0"/>
        <w:jc w:val="center"/>
        <w:rPr>
          <w:rFonts w:eastAsia="黑体"/>
          <w:bCs/>
          <w:kern w:val="0"/>
          <w:sz w:val="24"/>
        </w:rPr>
      </w:pPr>
      <w:r>
        <w:rPr>
          <w:rFonts w:hint="eastAsia" w:eastAsia="黑体"/>
          <w:bCs/>
          <w:kern w:val="0"/>
          <w:sz w:val="24"/>
        </w:rPr>
        <w:t>（一）项目管理机构组织机构图</w:t>
      </w:r>
    </w:p>
    <w:tbl>
      <w:tblPr>
        <w:tblStyle w:val="56"/>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5" w:hRule="atLeast"/>
        </w:trPr>
        <w:tc>
          <w:tcPr>
            <w:tcW w:w="8720" w:type="dxa"/>
          </w:tcPr>
          <w:p>
            <w:pPr>
              <w:autoSpaceDE w:val="0"/>
              <w:autoSpaceDN w:val="0"/>
              <w:adjustRightInd w:val="0"/>
              <w:spacing w:line="360" w:lineRule="auto"/>
              <w:ind w:left="524" w:right="-20" w:firstLine="0" w:firstLineChars="0"/>
              <w:jc w:val="left"/>
              <w:rPr>
                <w:rFonts w:cs="宋体"/>
                <w:spacing w:val="-2"/>
                <w:kern w:val="0"/>
                <w:sz w:val="24"/>
              </w:rPr>
            </w:pPr>
            <w:r>
              <w:rPr>
                <w:rFonts w:hint="eastAsia" w:cs="宋体"/>
                <w:spacing w:val="-2"/>
                <w:kern w:val="0"/>
                <w:sz w:val="24"/>
              </w:rPr>
              <w:t>拟为承包本标段工程设立的组织机构以框图方式表示。</w:t>
            </w:r>
          </w:p>
          <w:p>
            <w:pPr>
              <w:autoSpaceDE w:val="0"/>
              <w:autoSpaceDN w:val="0"/>
              <w:adjustRightInd w:val="0"/>
              <w:snapToGrid w:val="0"/>
              <w:spacing w:line="360" w:lineRule="auto"/>
              <w:ind w:firstLine="0" w:firstLineChars="0"/>
              <w:jc w:val="center"/>
              <w:rPr>
                <w:rFonts w:cs="宋体"/>
                <w:spacing w:val="-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5" w:hRule="atLeast"/>
        </w:trPr>
        <w:tc>
          <w:tcPr>
            <w:tcW w:w="8720" w:type="dxa"/>
          </w:tcPr>
          <w:p>
            <w:pPr>
              <w:autoSpaceDE w:val="0"/>
              <w:autoSpaceDN w:val="0"/>
              <w:adjustRightInd w:val="0"/>
              <w:spacing w:line="360" w:lineRule="auto"/>
              <w:ind w:left="524" w:right="-20" w:firstLine="0" w:firstLineChars="0"/>
              <w:jc w:val="left"/>
              <w:rPr>
                <w:rFonts w:cs="宋体"/>
                <w:spacing w:val="-2"/>
                <w:kern w:val="0"/>
                <w:sz w:val="24"/>
              </w:rPr>
            </w:pPr>
            <w:r>
              <w:rPr>
                <w:rFonts w:hint="eastAsia" w:cs="宋体"/>
                <w:spacing w:val="-2"/>
                <w:kern w:val="0"/>
                <w:sz w:val="24"/>
              </w:rPr>
              <w:t>说明</w:t>
            </w:r>
          </w:p>
        </w:tc>
      </w:tr>
    </w:tbl>
    <w:p>
      <w:pPr>
        <w:autoSpaceDE w:val="0"/>
        <w:autoSpaceDN w:val="0"/>
        <w:adjustRightInd w:val="0"/>
        <w:snapToGrid w:val="0"/>
        <w:spacing w:line="360" w:lineRule="auto"/>
        <w:ind w:firstLine="0" w:firstLineChars="0"/>
        <w:jc w:val="center"/>
        <w:rPr>
          <w:rFonts w:eastAsia="黑体"/>
          <w:bCs/>
          <w:kern w:val="0"/>
          <w:sz w:val="24"/>
        </w:rPr>
      </w:pPr>
    </w:p>
    <w:p>
      <w:pPr>
        <w:autoSpaceDE w:val="0"/>
        <w:autoSpaceDN w:val="0"/>
        <w:adjustRightInd w:val="0"/>
        <w:snapToGrid w:val="0"/>
        <w:spacing w:line="360" w:lineRule="auto"/>
        <w:ind w:firstLine="0" w:firstLineChars="0"/>
        <w:jc w:val="center"/>
        <w:rPr>
          <w:rFonts w:eastAsia="黑体"/>
          <w:bCs/>
          <w:kern w:val="0"/>
          <w:sz w:val="24"/>
        </w:rPr>
      </w:pPr>
    </w:p>
    <w:p>
      <w:pPr>
        <w:widowControl/>
        <w:ind w:firstLine="0" w:firstLineChars="0"/>
        <w:jc w:val="left"/>
        <w:rPr>
          <w:rFonts w:eastAsia="黑体"/>
          <w:bCs/>
          <w:kern w:val="0"/>
          <w:sz w:val="24"/>
        </w:rPr>
      </w:pPr>
      <w:r>
        <w:rPr>
          <w:rFonts w:eastAsia="黑体"/>
          <w:bCs/>
          <w:kern w:val="0"/>
          <w:sz w:val="24"/>
        </w:rPr>
        <w:br w:type="page"/>
      </w:r>
    </w:p>
    <w:p>
      <w:pPr>
        <w:autoSpaceDE w:val="0"/>
        <w:autoSpaceDN w:val="0"/>
        <w:adjustRightInd w:val="0"/>
        <w:snapToGrid w:val="0"/>
        <w:spacing w:line="360" w:lineRule="auto"/>
        <w:ind w:firstLine="0" w:firstLineChars="0"/>
        <w:jc w:val="center"/>
        <w:rPr>
          <w:rFonts w:eastAsia="黑体"/>
          <w:bCs/>
          <w:kern w:val="0"/>
          <w:sz w:val="24"/>
        </w:rPr>
      </w:pPr>
      <w:r>
        <w:rPr>
          <w:rFonts w:hint="eastAsia" w:eastAsia="黑体"/>
          <w:bCs/>
          <w:kern w:val="0"/>
          <w:sz w:val="24"/>
        </w:rPr>
        <w:t>（二）项目管理机构人员组成表</w:t>
      </w:r>
    </w:p>
    <w:tbl>
      <w:tblPr>
        <w:tblStyle w:val="56"/>
        <w:tblW w:w="8706" w:type="dxa"/>
        <w:jc w:val="center"/>
        <w:tblLayout w:type="fixed"/>
        <w:tblCellMar>
          <w:top w:w="0" w:type="dxa"/>
          <w:left w:w="0" w:type="dxa"/>
          <w:bottom w:w="0" w:type="dxa"/>
          <w:right w:w="0" w:type="dxa"/>
        </w:tblCellMar>
      </w:tblPr>
      <w:tblGrid>
        <w:gridCol w:w="684"/>
        <w:gridCol w:w="762"/>
        <w:gridCol w:w="760"/>
        <w:gridCol w:w="1143"/>
        <w:gridCol w:w="760"/>
        <w:gridCol w:w="762"/>
        <w:gridCol w:w="760"/>
        <w:gridCol w:w="2026"/>
        <w:gridCol w:w="1049"/>
      </w:tblGrid>
      <w:tr>
        <w:tblPrEx>
          <w:tblCellMar>
            <w:top w:w="0" w:type="dxa"/>
            <w:left w:w="0" w:type="dxa"/>
            <w:bottom w:w="0" w:type="dxa"/>
            <w:right w:w="0" w:type="dxa"/>
          </w:tblCellMar>
        </w:tblPrEx>
        <w:trPr>
          <w:cantSplit/>
          <w:trHeight w:val="459" w:hRule="exact"/>
          <w:jc w:val="center"/>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kern w:val="0"/>
                <w:sz w:val="24"/>
              </w:rPr>
            </w:pPr>
            <w:r>
              <w:rPr>
                <w:rFonts w:hint="eastAsia"/>
                <w:kern w:val="0"/>
                <w:sz w:val="24"/>
              </w:rPr>
              <w:t>职务</w:t>
            </w:r>
          </w:p>
        </w:tc>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kern w:val="0"/>
                <w:sz w:val="24"/>
              </w:rPr>
            </w:pPr>
            <w:r>
              <w:rPr>
                <w:rFonts w:hint="eastAsia"/>
                <w:kern w:val="0"/>
                <w:sz w:val="24"/>
              </w:rPr>
              <w:t>姓名</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kern w:val="0"/>
                <w:sz w:val="24"/>
              </w:rPr>
            </w:pPr>
            <w:r>
              <w:rPr>
                <w:rFonts w:hint="eastAsia"/>
                <w:kern w:val="0"/>
                <w:sz w:val="24"/>
              </w:rPr>
              <w:t>职称</w:t>
            </w:r>
          </w:p>
        </w:tc>
        <w:tc>
          <w:tcPr>
            <w:tcW w:w="5451"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kern w:val="0"/>
                <w:sz w:val="24"/>
              </w:rPr>
            </w:pPr>
            <w:r>
              <w:rPr>
                <w:rFonts w:hint="eastAsia"/>
                <w:kern w:val="0"/>
                <w:sz w:val="24"/>
              </w:rPr>
              <w:t>执业或职业资格证明</w:t>
            </w:r>
          </w:p>
        </w:tc>
        <w:tc>
          <w:tcPr>
            <w:tcW w:w="10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kern w:val="0"/>
                <w:sz w:val="24"/>
              </w:rPr>
            </w:pPr>
            <w:r>
              <w:rPr>
                <w:rFonts w:hint="eastAsia"/>
                <w:kern w:val="0"/>
                <w:sz w:val="24"/>
              </w:rPr>
              <w:t>备注</w:t>
            </w:r>
          </w:p>
        </w:tc>
      </w:tr>
      <w:tr>
        <w:tblPrEx>
          <w:tblCellMar>
            <w:top w:w="0" w:type="dxa"/>
            <w:left w:w="0" w:type="dxa"/>
            <w:bottom w:w="0" w:type="dxa"/>
            <w:right w:w="0" w:type="dxa"/>
          </w:tblCellMar>
        </w:tblPrEx>
        <w:trPr>
          <w:cantSplit/>
          <w:trHeight w:val="660" w:hRule="exact"/>
          <w:jc w:val="center"/>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rPr>
                <w:kern w:val="0"/>
                <w:sz w:val="24"/>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rPr>
                <w:kern w:val="0"/>
                <w:sz w:val="24"/>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rPr>
                <w:kern w:val="0"/>
                <w:sz w:val="24"/>
              </w:rPr>
            </w:pPr>
          </w:p>
        </w:tc>
        <w:tc>
          <w:tcPr>
            <w:tcW w:w="11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kern w:val="0"/>
                <w:sz w:val="24"/>
              </w:rPr>
            </w:pPr>
            <w:r>
              <w:rPr>
                <w:rFonts w:hint="eastAsia"/>
                <w:kern w:val="0"/>
                <w:sz w:val="24"/>
              </w:rPr>
              <w:t>证书名称</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kern w:val="0"/>
                <w:sz w:val="24"/>
              </w:rPr>
            </w:pPr>
            <w:r>
              <w:rPr>
                <w:rFonts w:hint="eastAsia"/>
                <w:kern w:val="0"/>
                <w:sz w:val="24"/>
              </w:rPr>
              <w:t>级别</w:t>
            </w:r>
          </w:p>
        </w:tc>
        <w:tc>
          <w:tcPr>
            <w:tcW w:w="7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kern w:val="0"/>
                <w:sz w:val="24"/>
              </w:rPr>
            </w:pPr>
            <w:r>
              <w:rPr>
                <w:rFonts w:hint="eastAsia"/>
                <w:kern w:val="0"/>
                <w:sz w:val="24"/>
              </w:rPr>
              <w:t>证号</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kern w:val="0"/>
                <w:sz w:val="24"/>
              </w:rPr>
            </w:pPr>
            <w:r>
              <w:rPr>
                <w:rFonts w:hint="eastAsia"/>
                <w:kern w:val="0"/>
                <w:sz w:val="24"/>
              </w:rPr>
              <w:t>专业</w:t>
            </w:r>
          </w:p>
        </w:tc>
        <w:tc>
          <w:tcPr>
            <w:tcW w:w="20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kern w:val="0"/>
                <w:sz w:val="24"/>
              </w:rPr>
            </w:pPr>
            <w:r>
              <w:rPr>
                <w:rFonts w:hint="eastAsia"/>
                <w:kern w:val="0"/>
                <w:sz w:val="24"/>
              </w:rPr>
              <w:t>养老保险</w:t>
            </w:r>
          </w:p>
        </w:tc>
        <w:tc>
          <w:tcPr>
            <w:tcW w:w="104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r>
      <w:tr>
        <w:tblPrEx>
          <w:tblCellMar>
            <w:top w:w="0" w:type="dxa"/>
            <w:left w:w="0" w:type="dxa"/>
            <w:bottom w:w="0" w:type="dxa"/>
            <w:right w:w="0" w:type="dxa"/>
          </w:tblCellMar>
        </w:tblPrEx>
        <w:trPr>
          <w:trHeight w:val="459" w:hRule="exact"/>
          <w:jc w:val="center"/>
        </w:trPr>
        <w:tc>
          <w:tcPr>
            <w:tcW w:w="68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11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20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104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r>
      <w:tr>
        <w:tblPrEx>
          <w:tblCellMar>
            <w:top w:w="0" w:type="dxa"/>
            <w:left w:w="0" w:type="dxa"/>
            <w:bottom w:w="0" w:type="dxa"/>
            <w:right w:w="0" w:type="dxa"/>
          </w:tblCellMar>
        </w:tblPrEx>
        <w:trPr>
          <w:trHeight w:val="459" w:hRule="exact"/>
          <w:jc w:val="center"/>
        </w:trPr>
        <w:tc>
          <w:tcPr>
            <w:tcW w:w="68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11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20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104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r>
      <w:tr>
        <w:tblPrEx>
          <w:tblCellMar>
            <w:top w:w="0" w:type="dxa"/>
            <w:left w:w="0" w:type="dxa"/>
            <w:bottom w:w="0" w:type="dxa"/>
            <w:right w:w="0" w:type="dxa"/>
          </w:tblCellMar>
        </w:tblPrEx>
        <w:trPr>
          <w:trHeight w:val="459" w:hRule="exact"/>
          <w:jc w:val="center"/>
        </w:trPr>
        <w:tc>
          <w:tcPr>
            <w:tcW w:w="68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11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20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104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r>
      <w:tr>
        <w:tblPrEx>
          <w:tblCellMar>
            <w:top w:w="0" w:type="dxa"/>
            <w:left w:w="0" w:type="dxa"/>
            <w:bottom w:w="0" w:type="dxa"/>
            <w:right w:w="0" w:type="dxa"/>
          </w:tblCellMar>
        </w:tblPrEx>
        <w:trPr>
          <w:trHeight w:val="459" w:hRule="exact"/>
          <w:jc w:val="center"/>
        </w:trPr>
        <w:tc>
          <w:tcPr>
            <w:tcW w:w="68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11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20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c>
          <w:tcPr>
            <w:tcW w:w="104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0" w:firstLineChars="0"/>
              <w:jc w:val="left"/>
              <w:rPr>
                <w:kern w:val="0"/>
                <w:sz w:val="24"/>
              </w:rPr>
            </w:pPr>
          </w:p>
        </w:tc>
      </w:tr>
    </w:tbl>
    <w:p>
      <w:pPr>
        <w:ind w:firstLine="0" w:firstLineChars="0"/>
        <w:rPr>
          <w:b/>
          <w:bCs/>
          <w:sz w:val="28"/>
          <w:szCs w:val="22"/>
        </w:rPr>
      </w:pPr>
    </w:p>
    <w:p>
      <w:pPr>
        <w:keepNext/>
        <w:keepLines/>
        <w:widowControl/>
        <w:spacing w:before="120" w:after="120" w:line="360" w:lineRule="auto"/>
        <w:ind w:firstLine="0" w:firstLineChars="0"/>
        <w:jc w:val="center"/>
        <w:outlineLvl w:val="2"/>
        <w:rPr>
          <w:b/>
          <w:kern w:val="0"/>
          <w:sz w:val="28"/>
          <w:szCs w:val="28"/>
        </w:rPr>
      </w:pPr>
      <w:r>
        <w:rPr>
          <w:b/>
          <w:bCs/>
          <w:kern w:val="0"/>
          <w:szCs w:val="22"/>
        </w:rPr>
        <w:br w:type="page"/>
      </w:r>
      <w:bookmarkStart w:id="673" w:name="_Toc53665204"/>
      <w:bookmarkStart w:id="674" w:name="_Toc36562877"/>
      <w:bookmarkStart w:id="675" w:name="_Toc133311796"/>
      <w:bookmarkStart w:id="676" w:name="_Toc76375422"/>
      <w:bookmarkStart w:id="677" w:name="_Toc138689459"/>
      <w:bookmarkStart w:id="678" w:name="_Toc14201411"/>
      <w:bookmarkStart w:id="679" w:name="_Toc131087934"/>
      <w:bookmarkStart w:id="680" w:name="_Toc98148212"/>
      <w:r>
        <w:rPr>
          <w:rFonts w:hint="eastAsia"/>
          <w:b/>
          <w:kern w:val="0"/>
          <w:sz w:val="28"/>
          <w:szCs w:val="28"/>
        </w:rPr>
        <w:t>六、</w:t>
      </w:r>
      <w:r>
        <w:rPr>
          <w:rFonts w:hint="eastAsia"/>
          <w:b/>
          <w:kern w:val="0"/>
          <w:sz w:val="32"/>
          <w:szCs w:val="20"/>
        </w:rPr>
        <w:t>拟分包项目情况表</w:t>
      </w:r>
      <w:r>
        <w:rPr>
          <w:rFonts w:hint="eastAsia"/>
          <w:b/>
          <w:kern w:val="0"/>
          <w:sz w:val="28"/>
          <w:szCs w:val="28"/>
        </w:rPr>
        <w:t>（如有）</w:t>
      </w:r>
      <w:bookmarkEnd w:id="673"/>
      <w:bookmarkEnd w:id="674"/>
      <w:bookmarkEnd w:id="675"/>
      <w:bookmarkEnd w:id="676"/>
      <w:bookmarkEnd w:id="677"/>
      <w:bookmarkEnd w:id="678"/>
      <w:bookmarkEnd w:id="679"/>
      <w:bookmarkEnd w:id="680"/>
    </w:p>
    <w:tbl>
      <w:tblPr>
        <w:tblStyle w:val="56"/>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464"/>
        <w:gridCol w:w="1870"/>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vAlign w:val="center"/>
          </w:tcPr>
          <w:p>
            <w:pPr>
              <w:spacing w:line="440" w:lineRule="exact"/>
              <w:ind w:firstLine="0" w:firstLineChars="0"/>
              <w:jc w:val="center"/>
              <w:rPr>
                <w:sz w:val="24"/>
              </w:rPr>
            </w:pPr>
            <w:r>
              <w:rPr>
                <w:sz w:val="24"/>
              </w:rPr>
              <w:t>拟分包的工程项目</w:t>
            </w:r>
          </w:p>
        </w:tc>
        <w:tc>
          <w:tcPr>
            <w:tcW w:w="2464" w:type="dxa"/>
            <w:vAlign w:val="center"/>
          </w:tcPr>
          <w:p>
            <w:pPr>
              <w:spacing w:line="440" w:lineRule="exact"/>
              <w:ind w:firstLine="0" w:firstLineChars="0"/>
              <w:jc w:val="center"/>
              <w:rPr>
                <w:sz w:val="24"/>
              </w:rPr>
            </w:pPr>
            <w:r>
              <w:rPr>
                <w:sz w:val="24"/>
              </w:rPr>
              <w:t>主要</w:t>
            </w:r>
            <w:r>
              <w:rPr>
                <w:rFonts w:hint="eastAsia"/>
                <w:sz w:val="24"/>
              </w:rPr>
              <w:t>工程</w:t>
            </w:r>
            <w:r>
              <w:rPr>
                <w:sz w:val="24"/>
              </w:rPr>
              <w:t>内容</w:t>
            </w:r>
          </w:p>
        </w:tc>
        <w:tc>
          <w:tcPr>
            <w:tcW w:w="1870" w:type="dxa"/>
            <w:vAlign w:val="center"/>
          </w:tcPr>
          <w:p>
            <w:pPr>
              <w:spacing w:line="440" w:lineRule="exact"/>
              <w:ind w:firstLine="0" w:firstLineChars="0"/>
              <w:jc w:val="center"/>
              <w:rPr>
                <w:sz w:val="24"/>
              </w:rPr>
            </w:pPr>
            <w:r>
              <w:rPr>
                <w:sz w:val="24"/>
              </w:rPr>
              <w:t>预计造价（万元）</w:t>
            </w:r>
          </w:p>
        </w:tc>
        <w:tc>
          <w:tcPr>
            <w:tcW w:w="2590" w:type="dxa"/>
            <w:vAlign w:val="center"/>
          </w:tcPr>
          <w:p>
            <w:pPr>
              <w:spacing w:line="440" w:lineRule="exact"/>
              <w:ind w:firstLine="0" w:firstLineChars="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restart"/>
            <w:vAlign w:val="center"/>
          </w:tcPr>
          <w:p>
            <w:pPr>
              <w:spacing w:line="440" w:lineRule="exact"/>
              <w:ind w:firstLine="0" w:firstLineChars="0"/>
              <w:rPr>
                <w:sz w:val="24"/>
              </w:rPr>
            </w:pPr>
            <w:r>
              <w:rPr>
                <w:sz w:val="24"/>
              </w:rPr>
              <w:t>注：若无</w:t>
            </w:r>
            <w:r>
              <w:rPr>
                <w:rFonts w:hint="eastAsia"/>
                <w:sz w:val="24"/>
              </w:rPr>
              <w:t>分包计划</w:t>
            </w:r>
            <w:r>
              <w:rPr>
                <w:sz w:val="24"/>
              </w:rPr>
              <w:t>，则投标人应</w:t>
            </w:r>
            <w:r>
              <w:rPr>
                <w:rFonts w:hint="eastAsia"/>
                <w:sz w:val="24"/>
              </w:rPr>
              <w:t>在本表</w:t>
            </w:r>
            <w:r>
              <w:rPr>
                <w:sz w:val="24"/>
              </w:rPr>
              <w:t>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ind w:firstLine="0" w:firstLineChars="0"/>
              <w:jc w:val="center"/>
              <w:rPr>
                <w:sz w:val="24"/>
              </w:rPr>
            </w:pPr>
          </w:p>
        </w:tc>
        <w:tc>
          <w:tcPr>
            <w:tcW w:w="2464" w:type="dxa"/>
            <w:vAlign w:val="center"/>
          </w:tcPr>
          <w:p>
            <w:pPr>
              <w:spacing w:line="440" w:lineRule="exact"/>
              <w:ind w:firstLine="0" w:firstLineChars="0"/>
              <w:jc w:val="center"/>
              <w:rPr>
                <w:sz w:val="24"/>
              </w:rPr>
            </w:pP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460" w:type="dxa"/>
            <w:gridSpan w:val="2"/>
            <w:vAlign w:val="center"/>
          </w:tcPr>
          <w:p>
            <w:pPr>
              <w:spacing w:line="440" w:lineRule="exact"/>
              <w:ind w:firstLine="0" w:firstLineChars="0"/>
              <w:jc w:val="center"/>
              <w:rPr>
                <w:sz w:val="24"/>
              </w:rPr>
            </w:pPr>
            <w:r>
              <w:rPr>
                <w:rFonts w:hint="eastAsia"/>
                <w:sz w:val="24"/>
              </w:rPr>
              <w:t>拟</w:t>
            </w:r>
            <w:r>
              <w:rPr>
                <w:sz w:val="24"/>
              </w:rPr>
              <w:t>分包</w:t>
            </w:r>
            <w:r>
              <w:rPr>
                <w:rFonts w:hint="eastAsia"/>
                <w:sz w:val="24"/>
              </w:rPr>
              <w:t>工程造价</w:t>
            </w:r>
            <w:r>
              <w:rPr>
                <w:sz w:val="24"/>
              </w:rPr>
              <w:t>合计（万元）</w:t>
            </w:r>
          </w:p>
        </w:tc>
        <w:tc>
          <w:tcPr>
            <w:tcW w:w="1870" w:type="dxa"/>
            <w:vAlign w:val="center"/>
          </w:tcPr>
          <w:p>
            <w:pPr>
              <w:spacing w:line="440" w:lineRule="exact"/>
              <w:ind w:firstLine="0" w:firstLineChars="0"/>
              <w:jc w:val="center"/>
              <w:rPr>
                <w:sz w:val="24"/>
              </w:rPr>
            </w:pPr>
          </w:p>
        </w:tc>
        <w:tc>
          <w:tcPr>
            <w:tcW w:w="2590" w:type="dxa"/>
            <w:vMerge w:val="continue"/>
            <w:vAlign w:val="center"/>
          </w:tcPr>
          <w:p>
            <w:pPr>
              <w:spacing w:line="440" w:lineRule="exact"/>
              <w:ind w:firstLine="0" w:firstLineChars="0"/>
              <w:jc w:val="center"/>
              <w:rPr>
                <w:sz w:val="24"/>
              </w:rPr>
            </w:pPr>
          </w:p>
        </w:tc>
      </w:tr>
    </w:tbl>
    <w:p>
      <w:pPr>
        <w:tabs>
          <w:tab w:val="left" w:pos="8422"/>
          <w:tab w:val="left" w:pos="9622"/>
        </w:tabs>
        <w:spacing w:line="320" w:lineRule="exact"/>
        <w:ind w:right="105" w:rightChars="50" w:firstLine="0" w:firstLineChars="0"/>
        <w:jc w:val="left"/>
        <w:rPr>
          <w:snapToGrid w:val="0"/>
          <w:kern w:val="0"/>
        </w:rPr>
      </w:pPr>
    </w:p>
    <w:p>
      <w:pPr>
        <w:keepNext/>
        <w:keepLines/>
        <w:widowControl/>
        <w:spacing w:before="120" w:after="120" w:line="360" w:lineRule="auto"/>
        <w:ind w:firstLine="0" w:firstLineChars="0"/>
        <w:jc w:val="center"/>
        <w:outlineLvl w:val="2"/>
        <w:rPr>
          <w:b/>
          <w:kern w:val="0"/>
          <w:sz w:val="32"/>
          <w:szCs w:val="20"/>
        </w:rPr>
      </w:pPr>
      <w:r>
        <w:rPr>
          <w:b/>
          <w:bCs/>
          <w:kern w:val="0"/>
          <w:szCs w:val="22"/>
        </w:rPr>
        <w:br w:type="page"/>
      </w:r>
      <w:bookmarkStart w:id="681" w:name="_Toc138689460"/>
      <w:bookmarkStart w:id="682" w:name="_Toc133311797"/>
      <w:bookmarkStart w:id="683" w:name="_Toc76375423"/>
      <w:bookmarkStart w:id="684" w:name="_Toc36562878"/>
      <w:bookmarkStart w:id="685" w:name="_Toc14201412"/>
      <w:bookmarkStart w:id="686" w:name="_Toc53665205"/>
      <w:bookmarkStart w:id="687" w:name="_Toc98148213"/>
      <w:bookmarkStart w:id="688" w:name="_Toc131087935"/>
      <w:r>
        <w:rPr>
          <w:rFonts w:hint="eastAsia"/>
          <w:b/>
          <w:kern w:val="0"/>
          <w:sz w:val="32"/>
          <w:szCs w:val="20"/>
        </w:rPr>
        <w:t>七、资格审查资料</w:t>
      </w:r>
      <w:bookmarkEnd w:id="681"/>
      <w:bookmarkEnd w:id="682"/>
      <w:bookmarkEnd w:id="683"/>
      <w:bookmarkEnd w:id="684"/>
      <w:bookmarkEnd w:id="685"/>
      <w:bookmarkEnd w:id="686"/>
      <w:bookmarkEnd w:id="687"/>
      <w:bookmarkEnd w:id="688"/>
    </w:p>
    <w:p>
      <w:pPr>
        <w:keepNext/>
        <w:keepLines/>
        <w:widowControl/>
        <w:spacing w:before="120" w:after="120" w:line="360" w:lineRule="auto"/>
        <w:ind w:firstLine="0" w:firstLineChars="0"/>
        <w:jc w:val="center"/>
        <w:outlineLvl w:val="2"/>
        <w:rPr>
          <w:b/>
          <w:kern w:val="0"/>
          <w:sz w:val="32"/>
          <w:szCs w:val="22"/>
        </w:rPr>
      </w:pPr>
      <w:bookmarkStart w:id="689" w:name="_Toc133311798"/>
      <w:bookmarkStart w:id="690" w:name="_Toc76375424"/>
      <w:bookmarkStart w:id="691" w:name="_Toc138689461"/>
      <w:bookmarkStart w:id="692" w:name="_Toc98148214"/>
      <w:bookmarkStart w:id="693" w:name="_Toc36562879"/>
      <w:bookmarkStart w:id="694" w:name="_Toc14201413"/>
      <w:bookmarkStart w:id="695" w:name="_Toc53665206"/>
      <w:bookmarkStart w:id="696" w:name="_Toc131087936"/>
      <w:r>
        <w:rPr>
          <w:rFonts w:hint="eastAsia"/>
          <w:b/>
          <w:kern w:val="0"/>
          <w:sz w:val="32"/>
          <w:szCs w:val="20"/>
        </w:rPr>
        <w:t>（一）投标人基本情况表</w:t>
      </w:r>
      <w:bookmarkEnd w:id="648"/>
      <w:bookmarkEnd w:id="649"/>
      <w:bookmarkEnd w:id="689"/>
      <w:bookmarkEnd w:id="690"/>
      <w:bookmarkEnd w:id="691"/>
      <w:bookmarkEnd w:id="692"/>
      <w:bookmarkEnd w:id="693"/>
      <w:bookmarkEnd w:id="694"/>
      <w:bookmarkEnd w:id="695"/>
      <w:bookmarkEnd w:id="696"/>
    </w:p>
    <w:tbl>
      <w:tblPr>
        <w:tblStyle w:val="56"/>
        <w:tblW w:w="8568" w:type="dxa"/>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电话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left"/>
              <w:rPr>
                <w:kern w:val="0"/>
                <w:sz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ind w:firstLine="0" w:firstLineChars="0"/>
              <w:jc w:val="center"/>
              <w:rPr>
                <w:kern w:val="0"/>
                <w:sz w:val="24"/>
              </w:rPr>
            </w:pPr>
            <w:r>
              <w:rPr>
                <w:rFonts w:hint="eastAsia"/>
                <w:kern w:val="0"/>
                <w:sz w:val="24"/>
              </w:rPr>
              <w:t>传真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left"/>
              <w:rPr>
                <w:kern w:val="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left"/>
              <w:rPr>
                <w:kern w:val="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left"/>
              <w:rPr>
                <w:kern w:val="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left"/>
              <w:rPr>
                <w:kern w:val="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ind w:firstLine="0" w:firstLineChars="0"/>
              <w:jc w:val="center"/>
              <w:rPr>
                <w:kern w:val="0"/>
                <w:sz w:val="24"/>
              </w:rPr>
            </w:pPr>
            <w:r>
              <w:rPr>
                <w:rFonts w:hint="eastAsia"/>
                <w:kern w:val="0"/>
                <w:sz w:val="24"/>
              </w:rPr>
              <w:t>技工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ind w:firstLine="0" w:firstLineChars="0"/>
              <w:jc w:val="center"/>
              <w:rPr>
                <w:kern w:val="0"/>
                <w:sz w:val="24"/>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ind w:firstLine="0" w:firstLineChars="0"/>
              <w:jc w:val="center"/>
              <w:rPr>
                <w:kern w:val="0"/>
                <w:sz w:val="24"/>
              </w:rPr>
            </w:pPr>
            <w:r>
              <w:rPr>
                <w:kern w:val="0"/>
                <w:sz w:val="24"/>
              </w:rPr>
              <w:t>投标人关联</w:t>
            </w:r>
          </w:p>
          <w:p>
            <w:pPr>
              <w:autoSpaceDE w:val="0"/>
              <w:autoSpaceDN w:val="0"/>
              <w:adjustRightInd w:val="0"/>
              <w:snapToGrid w:val="0"/>
              <w:ind w:firstLine="0" w:firstLineChars="0"/>
              <w:jc w:val="center"/>
              <w:rPr>
                <w:sz w:val="24"/>
              </w:rPr>
            </w:pPr>
            <w:r>
              <w:rPr>
                <w:kern w:val="0"/>
                <w:sz w:val="24"/>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jc w:val="left"/>
              <w:rPr>
                <w:sz w:val="24"/>
              </w:rPr>
            </w:pPr>
            <w:r>
              <w:rPr>
                <w:sz w:val="24"/>
              </w:rPr>
              <w:t>投标人应提供关联企业情况，包括：</w:t>
            </w:r>
          </w:p>
          <w:p>
            <w:pPr>
              <w:topLinePunct/>
              <w:ind w:firstLine="480"/>
              <w:jc w:val="left"/>
              <w:rPr>
                <w:sz w:val="24"/>
              </w:rPr>
            </w:pPr>
            <w:r>
              <w:rPr>
                <w:sz w:val="24"/>
              </w:rPr>
              <w:t>（1）投标人投资（控股）或管理的下属企业名称、持有股权（出资额）比例；</w:t>
            </w:r>
          </w:p>
          <w:p>
            <w:pPr>
              <w:topLinePunct/>
              <w:ind w:firstLine="480"/>
              <w:jc w:val="left"/>
              <w:rPr>
                <w:sz w:val="24"/>
              </w:rPr>
            </w:pPr>
            <w:r>
              <w:rPr>
                <w:sz w:val="24"/>
              </w:rPr>
              <w:t>（2）与投标人单位负责人（即法定代表人）为同一人的其他单位名称</w:t>
            </w:r>
            <w:r>
              <w:rPr>
                <w:rFonts w:hint="eastAsia"/>
                <w:sz w:val="24"/>
              </w:rPr>
              <w:t>；</w:t>
            </w:r>
          </w:p>
          <w:p>
            <w:pPr>
              <w:topLinePunct/>
              <w:ind w:firstLine="480"/>
              <w:jc w:val="left"/>
              <w:rPr>
                <w:sz w:val="24"/>
              </w:rPr>
            </w:pPr>
            <w:r>
              <w:rPr>
                <w:sz w:val="24"/>
              </w:rPr>
              <w:t>（3）</w:t>
            </w:r>
            <w:r>
              <w:rPr>
                <w:rFonts w:hint="eastAsia"/>
                <w:bCs/>
                <w:sz w:val="24"/>
              </w:rPr>
              <w:t>……</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kern w:val="0"/>
                <w:sz w:val="24"/>
              </w:rPr>
            </w:pPr>
            <w:r>
              <w:rPr>
                <w:rFonts w:hint="eastAsia"/>
                <w:kern w:val="0"/>
                <w:sz w:val="24"/>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kern w:val="0"/>
                <w:sz w:val="24"/>
              </w:rPr>
            </w:pPr>
          </w:p>
        </w:tc>
      </w:tr>
    </w:tbl>
    <w:p>
      <w:pPr>
        <w:autoSpaceDE w:val="0"/>
        <w:autoSpaceDN w:val="0"/>
        <w:adjustRightInd w:val="0"/>
        <w:spacing w:line="300" w:lineRule="exact"/>
        <w:ind w:firstLine="0" w:firstLineChars="0"/>
        <w:jc w:val="left"/>
        <w:rPr>
          <w:sz w:val="24"/>
        </w:rPr>
      </w:pPr>
      <w:r>
        <w:rPr>
          <w:rFonts w:hint="eastAsia"/>
          <w:sz w:val="24"/>
        </w:rPr>
        <w:t>注：</w:t>
      </w:r>
      <w:r>
        <w:rPr>
          <w:rFonts w:hint="eastAsia" w:cs="宋体"/>
          <w:kern w:val="0"/>
          <w:sz w:val="24"/>
        </w:rPr>
        <w:t>投标人应根据招标文件第二章“投标人须知”第</w:t>
      </w:r>
      <w:r>
        <w:rPr>
          <w:rFonts w:cs="宋体"/>
          <w:kern w:val="0"/>
          <w:sz w:val="24"/>
        </w:rPr>
        <w:t>3.5.1</w:t>
      </w:r>
      <w:r>
        <w:rPr>
          <w:rFonts w:hint="eastAsia" w:cs="宋体"/>
          <w:kern w:val="0"/>
          <w:sz w:val="24"/>
        </w:rPr>
        <w:t>项的要求在本表后附</w:t>
      </w:r>
      <w:r>
        <w:rPr>
          <w:rFonts w:hint="eastAsia"/>
          <w:sz w:val="24"/>
        </w:rPr>
        <w:t>资质证书、安全生产许可证、营业执照等材料。联合体投标的，联合体成员分别填写。</w:t>
      </w:r>
    </w:p>
    <w:p>
      <w:pPr>
        <w:keepNext/>
        <w:keepLines/>
        <w:widowControl/>
        <w:spacing w:before="120" w:after="120" w:line="360" w:lineRule="auto"/>
        <w:ind w:firstLine="0" w:firstLineChars="0"/>
        <w:jc w:val="center"/>
        <w:outlineLvl w:val="2"/>
        <w:rPr>
          <w:b/>
          <w:kern w:val="0"/>
          <w:sz w:val="32"/>
          <w:szCs w:val="20"/>
        </w:rPr>
      </w:pPr>
      <w:r>
        <w:rPr>
          <w:b/>
          <w:kern w:val="0"/>
          <w:sz w:val="32"/>
          <w:szCs w:val="22"/>
        </w:rPr>
        <w:br w:type="page"/>
      </w:r>
      <w:bookmarkStart w:id="697" w:name="_Toc14201414"/>
      <w:bookmarkStart w:id="698" w:name="_Toc36562880"/>
      <w:bookmarkStart w:id="699" w:name="_Toc131087937"/>
      <w:bookmarkStart w:id="700" w:name="_Toc98148215"/>
      <w:bookmarkStart w:id="701" w:name="_Toc76375425"/>
      <w:bookmarkStart w:id="702" w:name="_Toc133311799"/>
      <w:bookmarkStart w:id="703" w:name="_Toc138689462"/>
      <w:bookmarkStart w:id="704" w:name="_Toc53665207"/>
      <w:r>
        <w:rPr>
          <w:rFonts w:hint="eastAsia"/>
          <w:b/>
          <w:kern w:val="0"/>
          <w:sz w:val="32"/>
          <w:szCs w:val="20"/>
        </w:rPr>
        <w:t>（二）近年财务状况</w:t>
      </w:r>
      <w:bookmarkEnd w:id="697"/>
      <w:bookmarkEnd w:id="698"/>
      <w:bookmarkEnd w:id="699"/>
      <w:bookmarkEnd w:id="700"/>
      <w:bookmarkEnd w:id="701"/>
      <w:bookmarkEnd w:id="702"/>
      <w:bookmarkEnd w:id="703"/>
      <w:bookmarkEnd w:id="704"/>
    </w:p>
    <w:p>
      <w:pPr>
        <w:spacing w:line="600" w:lineRule="exact"/>
        <w:ind w:firstLine="0" w:firstLineChars="0"/>
        <w:jc w:val="center"/>
        <w:rPr>
          <w:rFonts w:eastAsia="黑体" w:cs="黑体"/>
          <w:kern w:val="0"/>
          <w:sz w:val="24"/>
        </w:rPr>
      </w:pPr>
      <w:r>
        <w:rPr>
          <w:rFonts w:hint="eastAsia" w:eastAsia="黑体"/>
          <w:sz w:val="24"/>
        </w:rPr>
        <w:t>财务状况表</w:t>
      </w:r>
    </w:p>
    <w:tbl>
      <w:tblPr>
        <w:tblStyle w:val="56"/>
        <w:tblW w:w="7877" w:type="dxa"/>
        <w:tblInd w:w="111" w:type="dxa"/>
        <w:tblLayout w:type="fixed"/>
        <w:tblCellMar>
          <w:top w:w="0" w:type="dxa"/>
          <w:left w:w="0" w:type="dxa"/>
          <w:bottom w:w="0" w:type="dxa"/>
          <w:right w:w="0" w:type="dxa"/>
        </w:tblCellMar>
      </w:tblPr>
      <w:tblGrid>
        <w:gridCol w:w="3016"/>
        <w:gridCol w:w="900"/>
        <w:gridCol w:w="1320"/>
        <w:gridCol w:w="1321"/>
        <w:gridCol w:w="1320"/>
      </w:tblGrid>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ind w:firstLine="0" w:firstLineChars="0"/>
              <w:jc w:val="center"/>
              <w:rPr>
                <w:kern w:val="0"/>
                <w:sz w:val="24"/>
              </w:rPr>
            </w:pPr>
            <w:r>
              <w:rPr>
                <w:rFonts w:hint="eastAsia" w:cs="宋体"/>
                <w:kern w:val="0"/>
                <w:sz w:val="24"/>
              </w:rPr>
              <w:t>项目</w:t>
            </w:r>
            <w:r>
              <w:rPr>
                <w:rFonts w:hint="eastAsia" w:cs="宋体"/>
                <w:spacing w:val="-2"/>
                <w:kern w:val="0"/>
                <w:sz w:val="24"/>
              </w:rPr>
              <w:t>或</w:t>
            </w:r>
            <w:r>
              <w:rPr>
                <w:rFonts w:hint="eastAsia" w:cs="宋体"/>
                <w:kern w:val="0"/>
                <w:sz w:val="24"/>
              </w:rPr>
              <w:t>指标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ind w:firstLine="0" w:firstLineChars="0"/>
              <w:jc w:val="center"/>
              <w:rPr>
                <w:kern w:val="0"/>
                <w:sz w:val="24"/>
              </w:rPr>
            </w:pPr>
            <w:r>
              <w:rPr>
                <w:rFonts w:hint="eastAsia" w:cs="宋体"/>
                <w:kern w:val="0"/>
                <w:sz w:val="24"/>
              </w:rPr>
              <w:t>单位</w:t>
            </w:r>
          </w:p>
        </w:tc>
        <w:tc>
          <w:tcPr>
            <w:tcW w:w="1320" w:type="dxa"/>
            <w:tcBorders>
              <w:top w:val="single" w:color="000000" w:sz="6" w:space="0"/>
              <w:left w:val="single" w:color="000000" w:sz="6" w:space="0"/>
              <w:bottom w:val="single" w:color="000000" w:sz="6" w:space="0"/>
              <w:right w:val="single" w:color="000000" w:sz="6" w:space="0"/>
            </w:tcBorders>
            <w:vAlign w:val="center"/>
          </w:tcPr>
          <w:p>
            <w:pPr>
              <w:tabs>
                <w:tab w:val="left" w:pos="860"/>
              </w:tabs>
              <w:autoSpaceDE w:val="0"/>
              <w:autoSpaceDN w:val="0"/>
              <w:adjustRightInd w:val="0"/>
              <w:spacing w:before="98"/>
              <w:ind w:firstLine="0" w:firstLineChars="0"/>
              <w:jc w:val="center"/>
              <w:rPr>
                <w:kern w:val="0"/>
                <w:sz w:val="24"/>
              </w:rPr>
            </w:pPr>
            <w:r>
              <w:rPr>
                <w:rFonts w:cs="宋体"/>
                <w:kern w:val="0"/>
                <w:sz w:val="24"/>
              </w:rPr>
              <w:t>_____</w:t>
            </w:r>
            <w:r>
              <w:rPr>
                <w:rFonts w:hint="eastAsia" w:cs="宋体"/>
                <w:kern w:val="0"/>
                <w:sz w:val="24"/>
              </w:rPr>
              <w:t>年</w:t>
            </w:r>
          </w:p>
        </w:tc>
        <w:tc>
          <w:tcPr>
            <w:tcW w:w="1321" w:type="dxa"/>
            <w:tcBorders>
              <w:top w:val="single" w:color="000000" w:sz="6" w:space="0"/>
              <w:left w:val="single" w:color="000000" w:sz="6" w:space="0"/>
              <w:bottom w:val="single" w:color="000000" w:sz="6" w:space="0"/>
              <w:right w:val="single" w:color="000000" w:sz="6" w:space="0"/>
            </w:tcBorders>
            <w:vAlign w:val="center"/>
          </w:tcPr>
          <w:p>
            <w:pPr>
              <w:tabs>
                <w:tab w:val="left" w:pos="860"/>
              </w:tabs>
              <w:autoSpaceDE w:val="0"/>
              <w:autoSpaceDN w:val="0"/>
              <w:adjustRightInd w:val="0"/>
              <w:spacing w:before="98"/>
              <w:ind w:firstLine="0" w:firstLineChars="0"/>
              <w:jc w:val="center"/>
              <w:rPr>
                <w:kern w:val="0"/>
                <w:sz w:val="24"/>
              </w:rPr>
            </w:pPr>
            <w:r>
              <w:rPr>
                <w:rFonts w:cs="宋体"/>
                <w:kern w:val="0"/>
                <w:sz w:val="24"/>
              </w:rPr>
              <w:t>_____</w:t>
            </w:r>
            <w:r>
              <w:rPr>
                <w:rFonts w:hint="eastAsia" w:cs="宋体"/>
                <w:kern w:val="0"/>
                <w:sz w:val="24"/>
              </w:rPr>
              <w:t>年</w:t>
            </w:r>
          </w:p>
        </w:tc>
        <w:tc>
          <w:tcPr>
            <w:tcW w:w="1320" w:type="dxa"/>
            <w:tcBorders>
              <w:top w:val="single" w:color="000000" w:sz="6" w:space="0"/>
              <w:left w:val="single" w:color="000000" w:sz="6" w:space="0"/>
              <w:bottom w:val="single" w:color="000000" w:sz="6" w:space="0"/>
              <w:right w:val="single" w:color="000000" w:sz="6" w:space="0"/>
            </w:tcBorders>
            <w:vAlign w:val="center"/>
          </w:tcPr>
          <w:p>
            <w:pPr>
              <w:tabs>
                <w:tab w:val="left" w:pos="860"/>
              </w:tabs>
              <w:autoSpaceDE w:val="0"/>
              <w:autoSpaceDN w:val="0"/>
              <w:adjustRightInd w:val="0"/>
              <w:spacing w:before="98"/>
              <w:ind w:firstLine="0" w:firstLineChars="0"/>
              <w:jc w:val="center"/>
              <w:rPr>
                <w:kern w:val="0"/>
                <w:sz w:val="24"/>
              </w:rPr>
            </w:pPr>
            <w:r>
              <w:rPr>
                <w:rFonts w:cs="宋体"/>
                <w:kern w:val="0"/>
                <w:sz w:val="24"/>
              </w:rPr>
              <w:t>_____</w:t>
            </w:r>
            <w:r>
              <w:rPr>
                <w:rFonts w:hint="eastAsia" w:cs="宋体"/>
                <w:kern w:val="0"/>
                <w:sz w:val="24"/>
              </w:rPr>
              <w:t>年</w:t>
            </w: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left"/>
              <w:rPr>
                <w:kern w:val="0"/>
                <w:sz w:val="24"/>
              </w:rPr>
            </w:pPr>
            <w:r>
              <w:rPr>
                <w:rFonts w:hint="eastAsia" w:cs="宋体"/>
                <w:kern w:val="0"/>
                <w:sz w:val="24"/>
              </w:rPr>
              <w:t>一、注</w:t>
            </w:r>
            <w:r>
              <w:rPr>
                <w:rFonts w:hint="eastAsia" w:cs="宋体"/>
                <w:spacing w:val="-2"/>
                <w:kern w:val="0"/>
                <w:sz w:val="24"/>
              </w:rPr>
              <w:t>册</w:t>
            </w:r>
            <w:r>
              <w:rPr>
                <w:rFonts w:hint="eastAsia" w:cs="宋体"/>
                <w:kern w:val="0"/>
                <w:sz w:val="24"/>
              </w:rPr>
              <w:t>资本</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center"/>
              <w:rPr>
                <w:kern w:val="0"/>
                <w:sz w:val="24"/>
              </w:rPr>
            </w:pPr>
            <w:r>
              <w:rPr>
                <w:rFonts w:hint="eastAsia" w:cs="宋体"/>
                <w:kern w:val="0"/>
                <w:sz w:val="24"/>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left"/>
              <w:rPr>
                <w:kern w:val="0"/>
                <w:sz w:val="24"/>
              </w:rPr>
            </w:pPr>
            <w:r>
              <w:rPr>
                <w:rFonts w:hint="eastAsia" w:cs="宋体"/>
                <w:kern w:val="0"/>
                <w:sz w:val="24"/>
              </w:rPr>
              <w:t>二、净</w:t>
            </w:r>
            <w:r>
              <w:rPr>
                <w:rFonts w:hint="eastAsia" w:cs="宋体"/>
                <w:spacing w:val="-2"/>
                <w:kern w:val="0"/>
                <w:sz w:val="24"/>
              </w:rPr>
              <w:t>资</w:t>
            </w:r>
            <w:r>
              <w:rPr>
                <w:rFonts w:hint="eastAsia" w:cs="宋体"/>
                <w:kern w:val="0"/>
                <w:sz w:val="24"/>
              </w:rPr>
              <w:t>产</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center"/>
              <w:rPr>
                <w:kern w:val="0"/>
                <w:sz w:val="24"/>
              </w:rPr>
            </w:pPr>
            <w:r>
              <w:rPr>
                <w:rFonts w:hint="eastAsia" w:cs="宋体"/>
                <w:kern w:val="0"/>
                <w:sz w:val="24"/>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left"/>
              <w:rPr>
                <w:kern w:val="0"/>
                <w:sz w:val="24"/>
              </w:rPr>
            </w:pPr>
            <w:r>
              <w:rPr>
                <w:rFonts w:hint="eastAsia" w:cs="宋体"/>
                <w:kern w:val="0"/>
                <w:sz w:val="24"/>
              </w:rPr>
              <w:t>三、总</w:t>
            </w:r>
            <w:r>
              <w:rPr>
                <w:rFonts w:hint="eastAsia" w:cs="宋体"/>
                <w:spacing w:val="-2"/>
                <w:kern w:val="0"/>
                <w:sz w:val="24"/>
              </w:rPr>
              <w:t>资</w:t>
            </w:r>
            <w:r>
              <w:rPr>
                <w:rFonts w:hint="eastAsia" w:cs="宋体"/>
                <w:kern w:val="0"/>
                <w:sz w:val="24"/>
              </w:rPr>
              <w:t>产</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center"/>
              <w:rPr>
                <w:kern w:val="0"/>
                <w:sz w:val="24"/>
              </w:rPr>
            </w:pPr>
            <w:r>
              <w:rPr>
                <w:rFonts w:hint="eastAsia" w:cs="宋体"/>
                <w:kern w:val="0"/>
                <w:sz w:val="24"/>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left"/>
              <w:rPr>
                <w:kern w:val="0"/>
                <w:sz w:val="24"/>
              </w:rPr>
            </w:pPr>
            <w:r>
              <w:rPr>
                <w:rFonts w:hint="eastAsia" w:cs="宋体"/>
                <w:kern w:val="0"/>
                <w:sz w:val="24"/>
              </w:rPr>
              <w:t>四、固</w:t>
            </w:r>
            <w:r>
              <w:rPr>
                <w:rFonts w:hint="eastAsia" w:cs="宋体"/>
                <w:spacing w:val="-2"/>
                <w:kern w:val="0"/>
                <w:sz w:val="24"/>
              </w:rPr>
              <w:t>定</w:t>
            </w:r>
            <w:r>
              <w:rPr>
                <w:rFonts w:hint="eastAsia" w:cs="宋体"/>
                <w:kern w:val="0"/>
                <w:sz w:val="24"/>
              </w:rPr>
              <w:t>资产</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center"/>
              <w:rPr>
                <w:kern w:val="0"/>
                <w:sz w:val="24"/>
              </w:rPr>
            </w:pPr>
            <w:r>
              <w:rPr>
                <w:rFonts w:hint="eastAsia" w:cs="宋体"/>
                <w:kern w:val="0"/>
                <w:sz w:val="24"/>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ind w:firstLine="0" w:firstLineChars="0"/>
              <w:jc w:val="left"/>
              <w:rPr>
                <w:kern w:val="0"/>
                <w:sz w:val="24"/>
              </w:rPr>
            </w:pPr>
            <w:r>
              <w:rPr>
                <w:rFonts w:hint="eastAsia" w:cs="宋体"/>
                <w:kern w:val="0"/>
                <w:sz w:val="24"/>
              </w:rPr>
              <w:t>五、流</w:t>
            </w:r>
            <w:r>
              <w:rPr>
                <w:rFonts w:hint="eastAsia" w:cs="宋体"/>
                <w:spacing w:val="-2"/>
                <w:kern w:val="0"/>
                <w:sz w:val="24"/>
              </w:rPr>
              <w:t>动</w:t>
            </w:r>
            <w:r>
              <w:rPr>
                <w:rFonts w:hint="eastAsia" w:cs="宋体"/>
                <w:kern w:val="0"/>
                <w:sz w:val="24"/>
              </w:rPr>
              <w:t>资产</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ind w:firstLine="0" w:firstLineChars="0"/>
              <w:jc w:val="center"/>
              <w:rPr>
                <w:kern w:val="0"/>
                <w:sz w:val="24"/>
              </w:rPr>
            </w:pPr>
            <w:r>
              <w:rPr>
                <w:rFonts w:hint="eastAsia" w:cs="宋体"/>
                <w:kern w:val="0"/>
                <w:sz w:val="24"/>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left"/>
              <w:rPr>
                <w:kern w:val="0"/>
                <w:sz w:val="24"/>
              </w:rPr>
            </w:pPr>
            <w:r>
              <w:rPr>
                <w:rFonts w:hint="eastAsia" w:cs="宋体"/>
                <w:kern w:val="0"/>
                <w:sz w:val="24"/>
              </w:rPr>
              <w:t>六、流</w:t>
            </w:r>
            <w:r>
              <w:rPr>
                <w:rFonts w:hint="eastAsia" w:cs="宋体"/>
                <w:spacing w:val="-2"/>
                <w:kern w:val="0"/>
                <w:sz w:val="24"/>
              </w:rPr>
              <w:t>动</w:t>
            </w:r>
            <w:r>
              <w:rPr>
                <w:rFonts w:hint="eastAsia" w:cs="宋体"/>
                <w:kern w:val="0"/>
                <w:sz w:val="24"/>
              </w:rPr>
              <w:t>负债</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center"/>
              <w:rPr>
                <w:kern w:val="0"/>
                <w:sz w:val="24"/>
              </w:rPr>
            </w:pPr>
            <w:r>
              <w:rPr>
                <w:rFonts w:hint="eastAsia" w:cs="宋体"/>
                <w:kern w:val="0"/>
                <w:sz w:val="24"/>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left"/>
              <w:rPr>
                <w:kern w:val="0"/>
                <w:sz w:val="24"/>
              </w:rPr>
            </w:pPr>
            <w:r>
              <w:rPr>
                <w:rFonts w:hint="eastAsia" w:cs="宋体"/>
                <w:kern w:val="0"/>
                <w:sz w:val="24"/>
              </w:rPr>
              <w:t>七、负</w:t>
            </w:r>
            <w:r>
              <w:rPr>
                <w:rFonts w:hint="eastAsia" w:cs="宋体"/>
                <w:spacing w:val="-2"/>
                <w:kern w:val="0"/>
                <w:sz w:val="24"/>
              </w:rPr>
              <w:t>债</w:t>
            </w:r>
            <w:r>
              <w:rPr>
                <w:rFonts w:hint="eastAsia" w:cs="宋体"/>
                <w:kern w:val="0"/>
                <w:sz w:val="24"/>
              </w:rPr>
              <w:t>合计</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center"/>
              <w:rPr>
                <w:kern w:val="0"/>
                <w:sz w:val="24"/>
              </w:rPr>
            </w:pPr>
            <w:r>
              <w:rPr>
                <w:rFonts w:hint="eastAsia" w:cs="宋体"/>
                <w:kern w:val="0"/>
                <w:sz w:val="24"/>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6"/>
              <w:ind w:firstLine="0" w:firstLineChars="0"/>
              <w:jc w:val="left"/>
              <w:rPr>
                <w:kern w:val="0"/>
                <w:sz w:val="24"/>
              </w:rPr>
            </w:pPr>
            <w:r>
              <w:rPr>
                <w:rFonts w:hint="eastAsia" w:cs="宋体"/>
                <w:kern w:val="0"/>
                <w:sz w:val="24"/>
              </w:rPr>
              <w:t>八、营</w:t>
            </w:r>
            <w:r>
              <w:rPr>
                <w:rFonts w:hint="eastAsia" w:cs="宋体"/>
                <w:spacing w:val="-2"/>
                <w:kern w:val="0"/>
                <w:sz w:val="24"/>
              </w:rPr>
              <w:t>业</w:t>
            </w:r>
            <w:r>
              <w:rPr>
                <w:rFonts w:hint="eastAsia" w:cs="宋体"/>
                <w:kern w:val="0"/>
                <w:sz w:val="24"/>
              </w:rPr>
              <w:t>收入</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6"/>
              <w:ind w:firstLine="0" w:firstLineChars="0"/>
              <w:jc w:val="center"/>
              <w:rPr>
                <w:kern w:val="0"/>
                <w:sz w:val="24"/>
              </w:rPr>
            </w:pPr>
            <w:r>
              <w:rPr>
                <w:rFonts w:hint="eastAsia" w:cs="宋体"/>
                <w:kern w:val="0"/>
                <w:sz w:val="24"/>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left"/>
              <w:rPr>
                <w:kern w:val="0"/>
                <w:sz w:val="24"/>
              </w:rPr>
            </w:pPr>
            <w:r>
              <w:rPr>
                <w:rFonts w:hint="eastAsia" w:cs="宋体"/>
                <w:kern w:val="0"/>
                <w:sz w:val="24"/>
              </w:rPr>
              <w:t>九、净</w:t>
            </w:r>
            <w:r>
              <w:rPr>
                <w:rFonts w:hint="eastAsia" w:cs="宋体"/>
                <w:spacing w:val="-2"/>
                <w:kern w:val="0"/>
                <w:sz w:val="24"/>
              </w:rPr>
              <w:t>利</w:t>
            </w:r>
            <w:r>
              <w:rPr>
                <w:rFonts w:hint="eastAsia" w:cs="宋体"/>
                <w:kern w:val="0"/>
                <w:sz w:val="24"/>
              </w:rPr>
              <w:t>润</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center"/>
              <w:rPr>
                <w:kern w:val="0"/>
                <w:sz w:val="24"/>
              </w:rPr>
            </w:pPr>
            <w:r>
              <w:rPr>
                <w:rFonts w:hint="eastAsia" w:cs="宋体"/>
                <w:kern w:val="0"/>
                <w:sz w:val="24"/>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ind w:firstLine="0" w:firstLineChars="0"/>
              <w:jc w:val="left"/>
              <w:rPr>
                <w:kern w:val="0"/>
                <w:sz w:val="24"/>
              </w:rPr>
            </w:pPr>
            <w:r>
              <w:rPr>
                <w:rFonts w:hint="eastAsia" w:cs="宋体"/>
                <w:kern w:val="0"/>
                <w:sz w:val="24"/>
              </w:rPr>
              <w:t>十、现</w:t>
            </w:r>
            <w:r>
              <w:rPr>
                <w:rFonts w:hint="eastAsia" w:cs="宋体"/>
                <w:spacing w:val="-2"/>
                <w:kern w:val="0"/>
                <w:sz w:val="24"/>
              </w:rPr>
              <w:t>金</w:t>
            </w:r>
            <w:r>
              <w:rPr>
                <w:rFonts w:hint="eastAsia" w:cs="宋体"/>
                <w:kern w:val="0"/>
                <w:sz w:val="24"/>
              </w:rPr>
              <w:t>流</w:t>
            </w:r>
            <w:r>
              <w:rPr>
                <w:rFonts w:hint="eastAsia" w:cs="宋体"/>
                <w:spacing w:val="-2"/>
                <w:kern w:val="0"/>
                <w:sz w:val="24"/>
              </w:rPr>
              <w:t>量</w:t>
            </w:r>
            <w:r>
              <w:rPr>
                <w:rFonts w:hint="eastAsia" w:cs="宋体"/>
                <w:kern w:val="0"/>
                <w:sz w:val="24"/>
              </w:rPr>
              <w:t>净额</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ind w:firstLine="0" w:firstLineChars="0"/>
              <w:jc w:val="center"/>
              <w:rPr>
                <w:kern w:val="0"/>
                <w:sz w:val="24"/>
              </w:rPr>
            </w:pPr>
            <w:r>
              <w:rPr>
                <w:rFonts w:hint="eastAsia" w:cs="宋体"/>
                <w:kern w:val="0"/>
                <w:sz w:val="24"/>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ind w:firstLine="0" w:firstLineChars="0"/>
              <w:jc w:val="left"/>
              <w:rPr>
                <w:kern w:val="0"/>
                <w:sz w:val="24"/>
              </w:rPr>
            </w:pPr>
            <w:r>
              <w:rPr>
                <w:rFonts w:hint="eastAsia" w:cs="宋体"/>
                <w:kern w:val="0"/>
                <w:sz w:val="24"/>
              </w:rPr>
              <w:t>十一、</w:t>
            </w:r>
            <w:r>
              <w:rPr>
                <w:rFonts w:hint="eastAsia" w:cs="宋体"/>
                <w:spacing w:val="-2"/>
                <w:kern w:val="0"/>
                <w:sz w:val="24"/>
              </w:rPr>
              <w:t>主</w:t>
            </w:r>
            <w:r>
              <w:rPr>
                <w:rFonts w:hint="eastAsia" w:cs="宋体"/>
                <w:kern w:val="0"/>
                <w:sz w:val="24"/>
              </w:rPr>
              <w:t>要</w:t>
            </w:r>
            <w:r>
              <w:rPr>
                <w:rFonts w:hint="eastAsia" w:cs="宋体"/>
                <w:spacing w:val="-2"/>
                <w:kern w:val="0"/>
                <w:sz w:val="24"/>
              </w:rPr>
              <w:t>财</w:t>
            </w:r>
            <w:r>
              <w:rPr>
                <w:rFonts w:hint="eastAsia" w:cs="宋体"/>
                <w:kern w:val="0"/>
                <w:sz w:val="24"/>
              </w:rPr>
              <w:t>务</w:t>
            </w:r>
            <w:r>
              <w:rPr>
                <w:rFonts w:hint="eastAsia" w:cs="宋体"/>
                <w:spacing w:val="-2"/>
                <w:kern w:val="0"/>
                <w:sz w:val="24"/>
              </w:rPr>
              <w:t>指</w:t>
            </w:r>
            <w:r>
              <w:rPr>
                <w:rFonts w:hint="eastAsia" w:cs="宋体"/>
                <w:kern w:val="0"/>
                <w:sz w:val="24"/>
              </w:rPr>
              <w:t>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ind w:firstLine="0" w:firstLineChars="0"/>
              <w:jc w:val="center"/>
              <w:rPr>
                <w:kern w:val="0"/>
                <w:sz w:val="24"/>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 xml:space="preserve">1. </w:t>
            </w:r>
            <w:r>
              <w:rPr>
                <w:rFonts w:hint="eastAsia" w:cs="宋体"/>
                <w:kern w:val="0"/>
                <w:sz w:val="24"/>
              </w:rPr>
              <w:t>净资产收益率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r>
      <w:tr>
        <w:tblPrEx>
          <w:tblCellMar>
            <w:top w:w="0" w:type="dxa"/>
            <w:left w:w="0" w:type="dxa"/>
            <w:bottom w:w="0" w:type="dxa"/>
            <w:right w:w="0" w:type="dxa"/>
          </w:tblCellMar>
        </w:tblPrEx>
        <w:trPr>
          <w:trHeight w:val="577"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 xml:space="preserve">2. </w:t>
            </w:r>
            <w:r>
              <w:rPr>
                <w:rFonts w:hint="eastAsia" w:cs="宋体"/>
                <w:kern w:val="0"/>
                <w:sz w:val="24"/>
              </w:rPr>
              <w:t>总资产报酬率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 xml:space="preserve">3. </w:t>
            </w:r>
            <w:r>
              <w:rPr>
                <w:rFonts w:hint="eastAsia" w:cs="宋体"/>
                <w:kern w:val="0"/>
                <w:sz w:val="24"/>
              </w:rPr>
              <w:t>主营业务利润率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 xml:space="preserve">4. </w:t>
            </w:r>
            <w:r>
              <w:rPr>
                <w:rFonts w:hint="eastAsia" w:cs="宋体"/>
                <w:kern w:val="0"/>
                <w:sz w:val="24"/>
              </w:rPr>
              <w:t>资产负债率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 xml:space="preserve">5. </w:t>
            </w:r>
            <w:r>
              <w:rPr>
                <w:rFonts w:hint="eastAsia" w:cs="宋体"/>
                <w:kern w:val="0"/>
                <w:sz w:val="24"/>
              </w:rPr>
              <w:t>流动比率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 xml:space="preserve">6. </w:t>
            </w:r>
            <w:r>
              <w:rPr>
                <w:rFonts w:hint="eastAsia" w:cs="宋体"/>
                <w:kern w:val="0"/>
                <w:sz w:val="24"/>
              </w:rPr>
              <w:t>速动比率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r>
              <w:rPr>
                <w:rFonts w:cs="宋体"/>
                <w:kern w:val="0"/>
                <w:sz w:val="24"/>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jc w:val="left"/>
              <w:rPr>
                <w:rFonts w:cs="宋体"/>
                <w:kern w:val="0"/>
                <w:sz w:val="24"/>
              </w:rPr>
            </w:pPr>
          </w:p>
        </w:tc>
      </w:tr>
    </w:tbl>
    <w:p>
      <w:pPr>
        <w:autoSpaceDE w:val="0"/>
        <w:autoSpaceDN w:val="0"/>
        <w:adjustRightInd w:val="0"/>
        <w:spacing w:line="300" w:lineRule="exact"/>
        <w:ind w:firstLine="0" w:firstLineChars="0"/>
        <w:jc w:val="left"/>
        <w:rPr>
          <w:sz w:val="24"/>
        </w:rPr>
      </w:pPr>
      <w:r>
        <w:rPr>
          <w:rFonts w:hint="eastAsia" w:cs="宋体"/>
          <w:kern w:val="0"/>
          <w:sz w:val="24"/>
        </w:rPr>
        <w:t>注：</w:t>
      </w:r>
      <w:r>
        <w:rPr>
          <w:rFonts w:cs="宋体"/>
          <w:kern w:val="0"/>
          <w:sz w:val="24"/>
        </w:rPr>
        <w:t>1.</w:t>
      </w:r>
      <w:r>
        <w:rPr>
          <w:rFonts w:hint="eastAsia" w:cs="宋体"/>
          <w:kern w:val="0"/>
          <w:sz w:val="24"/>
        </w:rPr>
        <w:t>投标人应根据招标文件第二章</w:t>
      </w:r>
      <w:r>
        <w:rPr>
          <w:rFonts w:hint="eastAsia"/>
          <w:sz w:val="24"/>
        </w:rPr>
        <w:t>“投标人须知”第</w:t>
      </w:r>
      <w:r>
        <w:rPr>
          <w:sz w:val="24"/>
        </w:rPr>
        <w:t>3.5</w:t>
      </w:r>
      <w:r>
        <w:rPr>
          <w:rFonts w:hint="eastAsia"/>
          <w:sz w:val="24"/>
        </w:rPr>
        <w:t>.</w:t>
      </w:r>
      <w:r>
        <w:rPr>
          <w:sz w:val="24"/>
        </w:rPr>
        <w:t>2</w:t>
      </w:r>
      <w:r>
        <w:rPr>
          <w:rFonts w:hint="eastAsia"/>
          <w:sz w:val="24"/>
        </w:rPr>
        <w:t>项的要求在本表后附相关证明材料。</w:t>
      </w:r>
    </w:p>
    <w:p>
      <w:pPr>
        <w:autoSpaceDE w:val="0"/>
        <w:autoSpaceDN w:val="0"/>
        <w:adjustRightInd w:val="0"/>
        <w:spacing w:line="300" w:lineRule="exact"/>
        <w:ind w:firstLine="0" w:firstLineChars="0"/>
        <w:jc w:val="left"/>
        <w:rPr>
          <w:rFonts w:cs="宋体"/>
          <w:kern w:val="0"/>
          <w:sz w:val="24"/>
        </w:rPr>
      </w:pPr>
      <w:r>
        <w:rPr>
          <w:rFonts w:cs="宋体"/>
          <w:kern w:val="0"/>
          <w:sz w:val="24"/>
        </w:rPr>
        <w:t xml:space="preserve">    2.</w:t>
      </w:r>
      <w:r>
        <w:rPr>
          <w:rFonts w:hint="eastAsia" w:cs="宋体"/>
          <w:kern w:val="0"/>
          <w:sz w:val="24"/>
        </w:rPr>
        <w:t>以联合体形式参与投标的，联合体各成员应分别填写。</w:t>
      </w:r>
    </w:p>
    <w:p>
      <w:pPr>
        <w:spacing w:beforeLines="100" w:afterLines="100"/>
        <w:ind w:firstLine="0" w:firstLineChars="0"/>
        <w:jc w:val="center"/>
        <w:outlineLvl w:val="3"/>
        <w:rPr>
          <w:rFonts w:eastAsia="黑体"/>
          <w:bCs/>
          <w:sz w:val="24"/>
        </w:rPr>
      </w:pPr>
      <w:r>
        <w:rPr>
          <w:b/>
          <w:kern w:val="0"/>
          <w:sz w:val="32"/>
          <w:szCs w:val="20"/>
        </w:rPr>
        <w:br w:type="page"/>
      </w:r>
      <w:bookmarkStart w:id="705" w:name="_Toc14201415"/>
      <w:bookmarkStart w:id="706" w:name="_Toc26657093"/>
      <w:bookmarkStart w:id="707" w:name="_Toc23639"/>
      <w:r>
        <w:rPr>
          <w:rFonts w:hint="eastAsia" w:ascii="黑体" w:hAnsi="黑体" w:eastAsia="黑体" w:cs="黑体"/>
          <w:b/>
          <w:sz w:val="24"/>
        </w:rPr>
        <w:t>（三）</w:t>
      </w:r>
      <w:r>
        <w:rPr>
          <w:rFonts w:hint="eastAsia" w:ascii="黑体" w:hAnsi="黑体" w:eastAsia="黑体" w:cs="黑体"/>
          <w:bCs/>
          <w:sz w:val="24"/>
        </w:rPr>
        <w:t>投标人近年完成的类似项目情况表（资格审查）</w:t>
      </w:r>
    </w:p>
    <w:tbl>
      <w:tblPr>
        <w:tblStyle w:val="5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6"/>
        <w:gridCol w:w="5907"/>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noWrap/>
            <w:vAlign w:val="center"/>
          </w:tcPr>
          <w:p>
            <w:pPr>
              <w:spacing w:line="360" w:lineRule="auto"/>
              <w:ind w:firstLine="0" w:firstLineChars="0"/>
              <w:rPr>
                <w:b/>
                <w:sz w:val="24"/>
              </w:rPr>
            </w:pPr>
            <w:r>
              <w:rPr>
                <w:rFonts w:hint="eastAsia"/>
                <w:b/>
                <w:sz w:val="24"/>
              </w:rPr>
              <w:t>业绩序号</w:t>
            </w:r>
          </w:p>
        </w:tc>
        <w:tc>
          <w:tcPr>
            <w:tcW w:w="3468" w:type="pct"/>
            <w:noWrap/>
            <w:vAlign w:val="center"/>
          </w:tcPr>
          <w:p>
            <w:pPr>
              <w:spacing w:line="360" w:lineRule="auto"/>
              <w:ind w:firstLine="482"/>
              <w:jc w:val="center"/>
              <w:rPr>
                <w:b/>
                <w:sz w:val="24"/>
              </w:rPr>
            </w:pPr>
            <w:r>
              <w:rPr>
                <w:rFonts w:hint="eastAsia"/>
                <w:b/>
                <w:sz w:val="24"/>
              </w:rPr>
              <w:t>项目</w:t>
            </w:r>
            <w:r>
              <w:rPr>
                <w:b/>
                <w:sz w:val="24"/>
              </w:rPr>
              <w:t>名称</w:t>
            </w:r>
            <w:r>
              <w:rPr>
                <w:rFonts w:hint="eastAsia"/>
                <w:b/>
                <w:sz w:val="24"/>
              </w:rPr>
              <w:t>（合同名称）</w:t>
            </w:r>
          </w:p>
        </w:tc>
        <w:tc>
          <w:tcPr>
            <w:tcW w:w="681" w:type="pct"/>
            <w:noWrap/>
            <w:vAlign w:val="center"/>
          </w:tcPr>
          <w:p>
            <w:pPr>
              <w:spacing w:line="360" w:lineRule="auto"/>
              <w:ind w:firstLine="0" w:firstLineChars="0"/>
              <w:rPr>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noWrap/>
            <w:vAlign w:val="center"/>
          </w:tcPr>
          <w:p>
            <w:pPr>
              <w:spacing w:line="360" w:lineRule="auto"/>
              <w:ind w:firstLine="480"/>
              <w:jc w:val="center"/>
              <w:rPr>
                <w:sz w:val="24"/>
              </w:rPr>
            </w:pPr>
            <w:r>
              <w:rPr>
                <w:rFonts w:hint="eastAsia"/>
                <w:sz w:val="24"/>
              </w:rPr>
              <w:t>1</w:t>
            </w:r>
          </w:p>
        </w:tc>
        <w:tc>
          <w:tcPr>
            <w:tcW w:w="3468" w:type="pct"/>
            <w:noWrap/>
            <w:vAlign w:val="center"/>
          </w:tcPr>
          <w:p>
            <w:pPr>
              <w:spacing w:line="360" w:lineRule="auto"/>
              <w:ind w:firstLine="480"/>
              <w:jc w:val="center"/>
              <w:rPr>
                <w:sz w:val="24"/>
              </w:rPr>
            </w:pPr>
          </w:p>
        </w:tc>
        <w:tc>
          <w:tcPr>
            <w:tcW w:w="681"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noWrap/>
            <w:vAlign w:val="center"/>
          </w:tcPr>
          <w:p>
            <w:pPr>
              <w:spacing w:line="360" w:lineRule="auto"/>
              <w:ind w:firstLine="480"/>
              <w:jc w:val="center"/>
              <w:rPr>
                <w:sz w:val="24"/>
              </w:rPr>
            </w:pPr>
            <w:r>
              <w:rPr>
                <w:sz w:val="24"/>
              </w:rPr>
              <w:t>2</w:t>
            </w:r>
          </w:p>
        </w:tc>
        <w:tc>
          <w:tcPr>
            <w:tcW w:w="3468" w:type="pct"/>
            <w:noWrap/>
            <w:vAlign w:val="center"/>
          </w:tcPr>
          <w:p>
            <w:pPr>
              <w:spacing w:line="360" w:lineRule="auto"/>
              <w:ind w:firstLine="480"/>
              <w:jc w:val="center"/>
              <w:rPr>
                <w:sz w:val="24"/>
              </w:rPr>
            </w:pPr>
          </w:p>
        </w:tc>
        <w:tc>
          <w:tcPr>
            <w:tcW w:w="681"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noWrap/>
            <w:vAlign w:val="center"/>
          </w:tcPr>
          <w:p>
            <w:pPr>
              <w:spacing w:line="360" w:lineRule="auto"/>
              <w:ind w:firstLine="480"/>
              <w:jc w:val="center"/>
              <w:rPr>
                <w:sz w:val="24"/>
              </w:rPr>
            </w:pPr>
            <w:r>
              <w:rPr>
                <w:rFonts w:hint="eastAsia"/>
                <w:sz w:val="24"/>
              </w:rPr>
              <w:t>……</w:t>
            </w:r>
          </w:p>
        </w:tc>
        <w:tc>
          <w:tcPr>
            <w:tcW w:w="3468" w:type="pct"/>
            <w:noWrap/>
            <w:vAlign w:val="center"/>
          </w:tcPr>
          <w:p>
            <w:pPr>
              <w:spacing w:line="360" w:lineRule="auto"/>
              <w:ind w:firstLine="480"/>
              <w:jc w:val="center"/>
              <w:rPr>
                <w:sz w:val="24"/>
              </w:rPr>
            </w:pPr>
          </w:p>
        </w:tc>
        <w:tc>
          <w:tcPr>
            <w:tcW w:w="681" w:type="pct"/>
            <w:noWrap/>
            <w:vAlign w:val="center"/>
          </w:tcPr>
          <w:p>
            <w:pPr>
              <w:spacing w:line="360" w:lineRule="auto"/>
              <w:ind w:firstLine="480"/>
              <w:jc w:val="center"/>
              <w:rPr>
                <w:sz w:val="24"/>
              </w:rPr>
            </w:pPr>
          </w:p>
        </w:tc>
      </w:tr>
    </w:tbl>
    <w:p>
      <w:pPr>
        <w:spacing w:line="360" w:lineRule="auto"/>
        <w:ind w:firstLine="480"/>
        <w:rPr>
          <w:sz w:val="24"/>
        </w:rPr>
      </w:pPr>
      <w:r>
        <w:rPr>
          <w:rFonts w:hint="eastAsia"/>
          <w:sz w:val="24"/>
        </w:rPr>
        <w:t>注：</w:t>
      </w:r>
    </w:p>
    <w:p>
      <w:pPr>
        <w:spacing w:line="360" w:lineRule="auto"/>
        <w:ind w:firstLine="480"/>
        <w:rPr>
          <w:sz w:val="24"/>
        </w:rPr>
      </w:pPr>
      <w:r>
        <w:rPr>
          <w:rFonts w:hint="eastAsia"/>
          <w:sz w:val="24"/>
        </w:rPr>
        <w:t>1.投标人应将用于资格审查的业绩在上表中列明，按照列明</w:t>
      </w:r>
      <w:r>
        <w:rPr>
          <w:sz w:val="24"/>
        </w:rPr>
        <w:t>的</w:t>
      </w:r>
      <w:r>
        <w:rPr>
          <w:rFonts w:hint="eastAsia"/>
          <w:sz w:val="24"/>
        </w:rPr>
        <w:t>业绩序号先后</w:t>
      </w:r>
      <w:r>
        <w:rPr>
          <w:sz w:val="24"/>
        </w:rPr>
        <w:t>顺序</w:t>
      </w:r>
      <w:r>
        <w:rPr>
          <w:rFonts w:hint="eastAsia"/>
          <w:sz w:val="24"/>
        </w:rPr>
        <w:t>依次填写“投标人近年完成的类似项目信息表（资格审查）”，并附相应业绩证明材料。</w:t>
      </w:r>
    </w:p>
    <w:p>
      <w:pPr>
        <w:spacing w:line="360" w:lineRule="auto"/>
        <w:ind w:firstLine="480"/>
        <w:rPr>
          <w:sz w:val="24"/>
        </w:rPr>
      </w:pPr>
      <w:r>
        <w:rPr>
          <w:rFonts w:hint="eastAsia"/>
          <w:sz w:val="24"/>
        </w:rPr>
        <w:t>2.评标委员会应当按照上表列明的业绩序号先后顺序依次进行评审，且仅评审“附录3·资格审查条件（业绩最低要求）”规定数量的业绩，超出规定数量部分或未在上表列明的业绩均不作为资格审查投标人业绩予以评审。</w:t>
      </w:r>
    </w:p>
    <w:p>
      <w:pPr>
        <w:spacing w:line="360" w:lineRule="auto"/>
        <w:ind w:firstLine="480"/>
        <w:rPr>
          <w:sz w:val="24"/>
        </w:rPr>
      </w:pPr>
    </w:p>
    <w:p>
      <w:pPr>
        <w:spacing w:line="360" w:lineRule="auto"/>
        <w:ind w:firstLine="480"/>
        <w:rPr>
          <w:sz w:val="24"/>
        </w:rPr>
      </w:pPr>
    </w:p>
    <w:p>
      <w:pPr>
        <w:tabs>
          <w:tab w:val="left" w:pos="8422"/>
          <w:tab w:val="left" w:pos="9622"/>
        </w:tabs>
        <w:spacing w:line="360" w:lineRule="auto"/>
        <w:ind w:left="4200" w:leftChars="2000" w:right="105" w:rightChars="50" w:firstLine="480"/>
        <w:jc w:val="left"/>
        <w:rPr>
          <w:sz w:val="24"/>
        </w:rPr>
      </w:pPr>
    </w:p>
    <w:p>
      <w:pPr>
        <w:adjustRightInd w:val="0"/>
        <w:snapToGrid w:val="0"/>
        <w:spacing w:line="360" w:lineRule="auto"/>
        <w:ind w:firstLine="960"/>
        <w:jc w:val="right"/>
        <w:rPr>
          <w:bCs/>
          <w:sz w:val="24"/>
          <w:szCs w:val="21"/>
          <w:u w:val="single"/>
        </w:rPr>
      </w:pPr>
      <w:r>
        <w:rPr>
          <w:rFonts w:hint="eastAsia"/>
          <w:bCs/>
          <w:spacing w:val="120"/>
          <w:kern w:val="0"/>
          <w:sz w:val="24"/>
          <w:szCs w:val="21"/>
          <w:fitText w:val="1200" w:id="-1231310327"/>
        </w:rPr>
        <w:t>投标</w:t>
      </w:r>
      <w:r>
        <w:rPr>
          <w:rFonts w:hint="eastAsia"/>
          <w:bCs/>
          <w:spacing w:val="0"/>
          <w:kern w:val="0"/>
          <w:sz w:val="24"/>
          <w:szCs w:val="21"/>
          <w:fitText w:val="1200" w:id="-1231310327"/>
        </w:rPr>
        <w:t>人</w:t>
      </w:r>
      <w:r>
        <w:rPr>
          <w:rFonts w:hint="eastAsia"/>
          <w:bCs/>
          <w:sz w:val="24"/>
          <w:szCs w:val="21"/>
        </w:rPr>
        <w:t>：</w:t>
      </w:r>
      <w:r>
        <w:rPr>
          <w:rFonts w:hint="eastAsia"/>
          <w:bCs/>
          <w:sz w:val="24"/>
          <w:szCs w:val="21"/>
          <w:u w:val="single"/>
        </w:rPr>
        <w:t xml:space="preserve">            </w:t>
      </w:r>
      <w:r>
        <w:rPr>
          <w:rFonts w:hint="eastAsia"/>
          <w:bCs/>
          <w:sz w:val="24"/>
          <w:szCs w:val="21"/>
        </w:rPr>
        <w:t>（盖单位章）</w:t>
      </w:r>
    </w:p>
    <w:p>
      <w:pPr>
        <w:adjustRightInd w:val="0"/>
        <w:snapToGrid w:val="0"/>
        <w:spacing w:line="360" w:lineRule="auto"/>
        <w:ind w:firstLine="1920"/>
        <w:jc w:val="right"/>
        <w:rPr>
          <w:rFonts w:eastAsia="黑体"/>
          <w:sz w:val="28"/>
          <w:szCs w:val="28"/>
        </w:rPr>
      </w:pPr>
      <w:r>
        <w:rPr>
          <w:rFonts w:hint="eastAsia"/>
          <w:bCs/>
          <w:spacing w:val="360"/>
          <w:kern w:val="0"/>
          <w:sz w:val="24"/>
          <w:szCs w:val="21"/>
          <w:fitText w:val="1200" w:id="-1231310326"/>
        </w:rPr>
        <w:t>日</w:t>
      </w:r>
      <w:r>
        <w:rPr>
          <w:rFonts w:hint="eastAsia"/>
          <w:bCs/>
          <w:spacing w:val="0"/>
          <w:kern w:val="0"/>
          <w:sz w:val="24"/>
          <w:szCs w:val="21"/>
          <w:fitText w:val="1200" w:id="-1231310326"/>
        </w:rPr>
        <w:t>期</w:t>
      </w:r>
      <w:r>
        <w:rPr>
          <w:rFonts w:hint="eastAsia"/>
          <w:sz w:val="24"/>
          <w:szCs w:val="21"/>
        </w:rPr>
        <w:t>：</w:t>
      </w:r>
      <w:r>
        <w:rPr>
          <w:rFonts w:hint="eastAsia"/>
          <w:sz w:val="24"/>
          <w:szCs w:val="21"/>
          <w:u w:val="single"/>
        </w:rPr>
        <w:t xml:space="preserve">       </w:t>
      </w:r>
      <w:r>
        <w:rPr>
          <w:rFonts w:hint="eastAsia"/>
          <w:sz w:val="24"/>
          <w:szCs w:val="21"/>
        </w:rPr>
        <w:t>年</w:t>
      </w:r>
      <w:r>
        <w:rPr>
          <w:rFonts w:hint="eastAsia"/>
          <w:sz w:val="24"/>
          <w:szCs w:val="21"/>
          <w:u w:val="single"/>
        </w:rPr>
        <w:t xml:space="preserve">     </w:t>
      </w:r>
      <w:r>
        <w:rPr>
          <w:rFonts w:hint="eastAsia"/>
          <w:sz w:val="24"/>
          <w:szCs w:val="21"/>
        </w:rPr>
        <w:t>月</w:t>
      </w:r>
      <w:r>
        <w:rPr>
          <w:rFonts w:hint="eastAsia"/>
          <w:sz w:val="24"/>
          <w:szCs w:val="21"/>
          <w:u w:val="single"/>
        </w:rPr>
        <w:t xml:space="preserve">      </w:t>
      </w:r>
      <w:r>
        <w:rPr>
          <w:rFonts w:hint="eastAsia"/>
          <w:sz w:val="24"/>
          <w:szCs w:val="21"/>
        </w:rPr>
        <w:t>日</w:t>
      </w:r>
    </w:p>
    <w:p>
      <w:pPr>
        <w:spacing w:line="360" w:lineRule="auto"/>
        <w:ind w:firstLine="482"/>
        <w:jc w:val="center"/>
        <w:rPr>
          <w:rFonts w:ascii="黑体" w:hAnsi="黑体" w:eastAsia="黑体" w:cs="黑体"/>
          <w:bCs/>
          <w:sz w:val="24"/>
        </w:rPr>
      </w:pPr>
      <w:r>
        <w:rPr>
          <w:b/>
          <w:sz w:val="24"/>
        </w:rPr>
        <w:br w:type="page"/>
      </w:r>
      <w:r>
        <w:rPr>
          <w:rFonts w:hint="eastAsia" w:ascii="黑体" w:hAnsi="黑体" w:eastAsia="黑体" w:cs="黑体"/>
          <w:bCs/>
          <w:sz w:val="24"/>
        </w:rPr>
        <w:t>投标人</w:t>
      </w:r>
      <w:r>
        <w:rPr>
          <w:rFonts w:hint="eastAsia" w:eastAsia="黑体"/>
          <w:bCs/>
          <w:sz w:val="24"/>
        </w:rPr>
        <w:t>近年完成的类似项</w:t>
      </w:r>
      <w:r>
        <w:rPr>
          <w:rFonts w:hint="eastAsia" w:ascii="黑体" w:hAnsi="黑体" w:eastAsia="黑体" w:cs="黑体"/>
          <w:bCs/>
          <w:sz w:val="24"/>
        </w:rPr>
        <w:t>目信息表（资格审查）</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项目名称</w:t>
            </w:r>
          </w:p>
          <w:p>
            <w:pPr>
              <w:autoSpaceDE w:val="0"/>
              <w:autoSpaceDN w:val="0"/>
              <w:adjustRightInd w:val="0"/>
              <w:spacing w:line="300" w:lineRule="exact"/>
              <w:ind w:firstLine="480"/>
              <w:jc w:val="center"/>
              <w:rPr>
                <w:rFonts w:cs="宋体"/>
                <w:sz w:val="24"/>
                <w:szCs w:val="21"/>
              </w:rPr>
            </w:pPr>
            <w:r>
              <w:rPr>
                <w:rFonts w:hint="eastAsia" w:cs="宋体"/>
                <w:sz w:val="24"/>
                <w:szCs w:val="21"/>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left="360" w:firstLine="480"/>
              <w:jc w:val="center"/>
              <w:rPr>
                <w:rFonts w:cs="宋体"/>
                <w:sz w:val="24"/>
                <w:szCs w:val="21"/>
              </w:rPr>
            </w:pPr>
            <w:r>
              <w:rPr>
                <w:rFonts w:hint="eastAsia"/>
                <w:sz w:val="24"/>
                <w:szCs w:val="22"/>
              </w:rPr>
              <w:t>资格审查业绩</w:t>
            </w:r>
          </w:p>
        </w:tc>
      </w:tr>
    </w:tbl>
    <w:p>
      <w:pPr>
        <w:autoSpaceDE w:val="0"/>
        <w:autoSpaceDN w:val="0"/>
        <w:adjustRightInd w:val="0"/>
        <w:spacing w:line="300" w:lineRule="exact"/>
        <w:ind w:firstLine="480"/>
        <w:jc w:val="left"/>
        <w:rPr>
          <w:kern w:val="0"/>
          <w:sz w:val="24"/>
          <w:szCs w:val="21"/>
        </w:rPr>
      </w:pPr>
      <w:r>
        <w:rPr>
          <w:kern w:val="0"/>
          <w:sz w:val="24"/>
          <w:szCs w:val="21"/>
        </w:rPr>
        <w:t>注：投标人应根据招标文件第二章</w:t>
      </w:r>
      <w:r>
        <w:rPr>
          <w:rFonts w:hint="eastAsia" w:ascii="宋体" w:hAnsi="宋体" w:cs="宋体"/>
          <w:kern w:val="0"/>
          <w:sz w:val="24"/>
          <w:szCs w:val="21"/>
        </w:rPr>
        <w:t>“投标人须知”</w:t>
      </w:r>
      <w:r>
        <w:rPr>
          <w:kern w:val="0"/>
          <w:sz w:val="24"/>
          <w:szCs w:val="21"/>
        </w:rPr>
        <w:t>第3.5.3项的要求在本表后附相关证明材料。</w:t>
      </w:r>
    </w:p>
    <w:p>
      <w:pPr>
        <w:autoSpaceDE w:val="0"/>
        <w:autoSpaceDN w:val="0"/>
        <w:adjustRightInd w:val="0"/>
        <w:spacing w:line="360" w:lineRule="auto"/>
        <w:ind w:firstLine="480"/>
        <w:jc w:val="left"/>
        <w:rPr>
          <w:rFonts w:cs="宋体"/>
          <w:sz w:val="24"/>
          <w:szCs w:val="21"/>
        </w:rPr>
      </w:pPr>
    </w:p>
    <w:p>
      <w:pPr>
        <w:spacing w:line="360" w:lineRule="auto"/>
        <w:ind w:firstLine="0" w:firstLineChars="0"/>
        <w:jc w:val="left"/>
        <w:rPr>
          <w:b/>
          <w:sz w:val="24"/>
        </w:rPr>
      </w:pPr>
      <w:r>
        <w:rPr>
          <w:b/>
          <w:sz w:val="24"/>
        </w:rPr>
        <w:br w:type="page"/>
      </w:r>
    </w:p>
    <w:bookmarkEnd w:id="705"/>
    <w:bookmarkEnd w:id="706"/>
    <w:bookmarkEnd w:id="707"/>
    <w:p>
      <w:pPr>
        <w:spacing w:beforeLines="100" w:afterLines="100"/>
        <w:ind w:firstLine="0" w:firstLineChars="0"/>
        <w:jc w:val="center"/>
        <w:outlineLvl w:val="3"/>
        <w:rPr>
          <w:rFonts w:ascii="黑体" w:hAnsi="黑体" w:eastAsia="黑体" w:cs="黑体"/>
          <w:bCs/>
          <w:sz w:val="24"/>
        </w:rPr>
      </w:pPr>
      <w:bookmarkStart w:id="708" w:name="_Toc14201416"/>
      <w:bookmarkStart w:id="709" w:name="_Toc6243"/>
      <w:bookmarkStart w:id="710" w:name="_Toc26657094"/>
      <w:r>
        <w:rPr>
          <w:rFonts w:hint="eastAsia" w:ascii="黑体" w:hAnsi="黑体" w:eastAsia="黑体" w:cs="黑体"/>
          <w:bCs/>
          <w:sz w:val="24"/>
        </w:rPr>
        <w:t>（四）</w:t>
      </w:r>
      <w:bookmarkStart w:id="711" w:name="_Toc7813"/>
      <w:bookmarkStart w:id="712" w:name="_Toc2717"/>
      <w:bookmarkStart w:id="713" w:name="_Toc5804"/>
      <w:bookmarkStart w:id="714" w:name="_Toc21667"/>
      <w:bookmarkStart w:id="715" w:name="_Toc6316"/>
      <w:bookmarkStart w:id="716" w:name="_Toc26207"/>
      <w:r>
        <w:rPr>
          <w:rFonts w:hint="eastAsia" w:ascii="黑体" w:hAnsi="黑体" w:eastAsia="黑体" w:cs="黑体"/>
          <w:bCs/>
          <w:sz w:val="24"/>
        </w:rPr>
        <w:t>诚信投标承诺书</w:t>
      </w:r>
      <w:bookmarkEnd w:id="711"/>
      <w:bookmarkEnd w:id="712"/>
      <w:bookmarkEnd w:id="713"/>
      <w:bookmarkEnd w:id="714"/>
      <w:bookmarkEnd w:id="715"/>
      <w:bookmarkEnd w:id="716"/>
    </w:p>
    <w:bookmarkEnd w:id="708"/>
    <w:bookmarkEnd w:id="709"/>
    <w:bookmarkEnd w:id="710"/>
    <w:p>
      <w:pPr>
        <w:spacing w:line="360" w:lineRule="auto"/>
        <w:ind w:firstLine="480"/>
        <w:rPr>
          <w:sz w:val="24"/>
        </w:rPr>
      </w:pPr>
      <w:r>
        <w:rPr>
          <w:sz w:val="24"/>
          <w:u w:val="single"/>
        </w:rPr>
        <w:t>致：</w:t>
      </w:r>
      <w:r>
        <w:rPr>
          <w:rFonts w:hint="eastAsia"/>
          <w:sz w:val="24"/>
          <w:u w:val="single"/>
        </w:rPr>
        <w:t>（</w:t>
      </w:r>
      <w:r>
        <w:rPr>
          <w:sz w:val="24"/>
          <w:u w:val="single"/>
        </w:rPr>
        <w:t>招标人</w:t>
      </w:r>
      <w:r>
        <w:rPr>
          <w:rFonts w:hint="eastAsia"/>
          <w:sz w:val="24"/>
          <w:u w:val="single"/>
        </w:rPr>
        <w:t>）</w:t>
      </w:r>
    </w:p>
    <w:p>
      <w:pPr>
        <w:spacing w:beforeLines="100" w:line="360" w:lineRule="auto"/>
        <w:ind w:firstLine="480"/>
        <w:rPr>
          <w:sz w:val="24"/>
        </w:rPr>
      </w:pPr>
      <w:r>
        <w:rPr>
          <w:sz w:val="24"/>
        </w:rPr>
        <w:t>我公司郑重承诺：</w:t>
      </w:r>
    </w:p>
    <w:p>
      <w:pPr>
        <w:spacing w:beforeLines="100" w:line="360" w:lineRule="auto"/>
        <w:ind w:firstLine="480"/>
        <w:rPr>
          <w:sz w:val="24"/>
        </w:rPr>
      </w:pPr>
      <w:r>
        <w:rPr>
          <w:sz w:val="24"/>
        </w:rPr>
        <w:t>1.遵循公开、公正和诚实信用的原则自愿参加</w:t>
      </w:r>
      <w:r>
        <w:rPr>
          <w:sz w:val="24"/>
          <w:u w:val="single"/>
        </w:rPr>
        <w:t>（招标项目名称）</w:t>
      </w:r>
      <w:r>
        <w:rPr>
          <w:sz w:val="24"/>
        </w:rPr>
        <w:t xml:space="preserve"> </w:t>
      </w:r>
      <w:r>
        <w:rPr>
          <w:sz w:val="24"/>
          <w:u w:val="single"/>
        </w:rPr>
        <w:t xml:space="preserve">      </w:t>
      </w:r>
      <w:r>
        <w:rPr>
          <w:sz w:val="24"/>
        </w:rPr>
        <w:t>标段的投标。</w:t>
      </w:r>
    </w:p>
    <w:p>
      <w:pPr>
        <w:spacing w:line="360" w:lineRule="auto"/>
        <w:ind w:firstLine="480"/>
        <w:rPr>
          <w:sz w:val="24"/>
        </w:rPr>
      </w:pPr>
      <w:r>
        <w:rPr>
          <w:sz w:val="24"/>
        </w:rPr>
        <w:t>2.本次投标提供的资质证书、业绩及奖项等一切材料均真实、有效、合法。否则，我公司愿意接受招标人、</w:t>
      </w:r>
      <w:r>
        <w:rPr>
          <w:rFonts w:hint="eastAsia"/>
          <w:sz w:val="24"/>
        </w:rPr>
        <w:t>公共资源交易监督管理部门</w:t>
      </w:r>
      <w:r>
        <w:rPr>
          <w:sz w:val="24"/>
        </w:rPr>
        <w:t>作出的相关处理、处罚。</w:t>
      </w:r>
    </w:p>
    <w:p>
      <w:pPr>
        <w:spacing w:line="360" w:lineRule="auto"/>
        <w:ind w:firstLine="480"/>
        <w:rPr>
          <w:sz w:val="24"/>
        </w:rPr>
      </w:pPr>
      <w:r>
        <w:rPr>
          <w:sz w:val="24"/>
        </w:rPr>
        <w:t>3.本次投标为我公司自行投标，未出借、转让资质证书，未让他人挂靠投标。</w:t>
      </w:r>
    </w:p>
    <w:p>
      <w:pPr>
        <w:spacing w:line="360" w:lineRule="auto"/>
        <w:ind w:firstLine="480"/>
        <w:rPr>
          <w:sz w:val="24"/>
        </w:rPr>
      </w:pPr>
      <w:r>
        <w:rPr>
          <w:sz w:val="24"/>
        </w:rPr>
        <w:t>4.未与其他投标人相互串通投标报价，未排挤其他投标人的公平竞争、损害招标人的合法权益。</w:t>
      </w:r>
    </w:p>
    <w:p>
      <w:pPr>
        <w:spacing w:line="360" w:lineRule="auto"/>
        <w:ind w:firstLine="480"/>
        <w:rPr>
          <w:sz w:val="24"/>
        </w:rPr>
      </w:pPr>
      <w:r>
        <w:rPr>
          <w:sz w:val="24"/>
        </w:rPr>
        <w:t>5.未与招标人、招标代理机构或其他投标人串通投标，损害国家利益、社会公共利益或者他人的合法权益。</w:t>
      </w:r>
    </w:p>
    <w:p>
      <w:pPr>
        <w:spacing w:line="360" w:lineRule="auto"/>
        <w:ind w:firstLine="480"/>
        <w:rPr>
          <w:sz w:val="24"/>
        </w:rPr>
      </w:pPr>
      <w:r>
        <w:rPr>
          <w:sz w:val="24"/>
        </w:rPr>
        <w:t>6.中标后按照合同约定履行义务，完成中标项目；不向他人转让中标项目，不将中标项目肢解后分别向他人转让；不违法分包。</w:t>
      </w:r>
    </w:p>
    <w:p>
      <w:pPr>
        <w:spacing w:line="360" w:lineRule="auto"/>
        <w:ind w:firstLine="480"/>
        <w:rPr>
          <w:sz w:val="24"/>
        </w:rPr>
      </w:pPr>
      <w:r>
        <w:rPr>
          <w:sz w:val="24"/>
        </w:rPr>
        <w:t>7.如提出异议（投诉），对提供的异议（投诉）</w:t>
      </w:r>
      <w:r>
        <w:rPr>
          <w:rFonts w:hint="eastAsia"/>
          <w:sz w:val="24"/>
        </w:rPr>
        <w:t>材</w:t>
      </w:r>
      <w:r>
        <w:rPr>
          <w:sz w:val="24"/>
        </w:rPr>
        <w:t>料的真实性负责，不恶意异议（投诉）；不捏造事实、提供虚假材料或者以非法手段取得证明材料进行异议（投诉），影响交易活动正常进行；否则，我公司</w:t>
      </w:r>
      <w:r>
        <w:rPr>
          <w:rFonts w:hint="eastAsia"/>
          <w:sz w:val="24"/>
        </w:rPr>
        <w:t>愿意</w:t>
      </w:r>
      <w:r>
        <w:rPr>
          <w:sz w:val="24"/>
        </w:rPr>
        <w:t>接受</w:t>
      </w:r>
      <w:r>
        <w:rPr>
          <w:rFonts w:hint="eastAsia"/>
          <w:sz w:val="24"/>
        </w:rPr>
        <w:t>公共资源交易监督管理部门</w:t>
      </w:r>
      <w:r>
        <w:rPr>
          <w:sz w:val="24"/>
        </w:rPr>
        <w:t>作出的相关</w:t>
      </w:r>
      <w:r>
        <w:rPr>
          <w:rFonts w:hint="eastAsia"/>
          <w:sz w:val="24"/>
        </w:rPr>
        <w:t>处理、</w:t>
      </w:r>
      <w:r>
        <w:rPr>
          <w:sz w:val="24"/>
        </w:rPr>
        <w:t>处罚。</w:t>
      </w:r>
    </w:p>
    <w:p>
      <w:pPr>
        <w:spacing w:line="360" w:lineRule="auto"/>
        <w:ind w:firstLine="480"/>
        <w:jc w:val="left"/>
        <w:rPr>
          <w:sz w:val="24"/>
        </w:rPr>
      </w:pPr>
      <w:r>
        <w:rPr>
          <w:sz w:val="24"/>
        </w:rPr>
        <w:t>8.</w:t>
      </w:r>
      <w:r>
        <w:rPr>
          <w:rFonts w:hint="eastAsia" w:cs="宋体"/>
          <w:sz w:val="24"/>
        </w:rPr>
        <w:t>本次投标不存在第二章“投标人须知”第1.4.3项、第1.4.4项规定的任何一种情形。</w:t>
      </w:r>
    </w:p>
    <w:p>
      <w:pPr>
        <w:spacing w:line="360" w:lineRule="auto"/>
        <w:ind w:firstLine="480"/>
        <w:rPr>
          <w:sz w:val="24"/>
          <w:u w:val="single"/>
        </w:rPr>
      </w:pPr>
      <w:r>
        <w:rPr>
          <w:sz w:val="24"/>
        </w:rPr>
        <w:t>9.</w:t>
      </w:r>
      <w:r>
        <w:rPr>
          <w:sz w:val="24"/>
          <w:u w:val="single"/>
        </w:rPr>
        <w:t xml:space="preserve">                    </w:t>
      </w:r>
      <w:r>
        <w:rPr>
          <w:snapToGrid w:val="0"/>
          <w:sz w:val="24"/>
          <w:szCs w:val="21"/>
        </w:rPr>
        <w:t>（其他补充承诺）。</w:t>
      </w:r>
    </w:p>
    <w:p>
      <w:pPr>
        <w:spacing w:line="360" w:lineRule="auto"/>
        <w:ind w:firstLine="480"/>
        <w:rPr>
          <w:sz w:val="24"/>
        </w:rPr>
      </w:pPr>
    </w:p>
    <w:p>
      <w:pPr>
        <w:adjustRightInd w:val="0"/>
        <w:snapToGrid w:val="0"/>
        <w:spacing w:line="360" w:lineRule="auto"/>
        <w:ind w:firstLine="960"/>
        <w:jc w:val="right"/>
        <w:rPr>
          <w:bCs/>
          <w:sz w:val="24"/>
          <w:szCs w:val="21"/>
          <w:u w:val="single"/>
        </w:rPr>
      </w:pPr>
      <w:r>
        <w:rPr>
          <w:rFonts w:hint="eastAsia"/>
          <w:bCs/>
          <w:spacing w:val="120"/>
          <w:kern w:val="0"/>
          <w:sz w:val="24"/>
          <w:szCs w:val="21"/>
          <w:fitText w:val="1200" w:id="-1231310325"/>
        </w:rPr>
        <w:t>投标</w:t>
      </w:r>
      <w:r>
        <w:rPr>
          <w:rFonts w:hint="eastAsia"/>
          <w:bCs/>
          <w:spacing w:val="0"/>
          <w:kern w:val="0"/>
          <w:sz w:val="24"/>
          <w:szCs w:val="21"/>
          <w:fitText w:val="1200" w:id="-1231310325"/>
        </w:rPr>
        <w:t>人</w:t>
      </w:r>
      <w:r>
        <w:rPr>
          <w:rFonts w:hint="eastAsia"/>
          <w:bCs/>
          <w:sz w:val="24"/>
          <w:szCs w:val="21"/>
        </w:rPr>
        <w:t>：</w:t>
      </w:r>
      <w:r>
        <w:rPr>
          <w:rFonts w:hint="eastAsia"/>
          <w:bCs/>
          <w:sz w:val="24"/>
          <w:szCs w:val="21"/>
          <w:u w:val="single"/>
        </w:rPr>
        <w:t xml:space="preserve">            </w:t>
      </w:r>
      <w:r>
        <w:rPr>
          <w:rFonts w:hint="eastAsia"/>
          <w:bCs/>
          <w:sz w:val="24"/>
          <w:szCs w:val="21"/>
        </w:rPr>
        <w:t>（盖单位章）</w:t>
      </w:r>
    </w:p>
    <w:p>
      <w:pPr>
        <w:adjustRightInd w:val="0"/>
        <w:snapToGrid w:val="0"/>
        <w:spacing w:line="360" w:lineRule="auto"/>
        <w:ind w:firstLine="480"/>
        <w:jc w:val="right"/>
        <w:rPr>
          <w:bCs/>
          <w:spacing w:val="160"/>
          <w:sz w:val="24"/>
          <w:szCs w:val="21"/>
        </w:rPr>
      </w:pPr>
      <w:r>
        <w:rPr>
          <w:rFonts w:hint="eastAsia"/>
          <w:spacing w:val="0"/>
          <w:kern w:val="0"/>
          <w:sz w:val="24"/>
          <w:szCs w:val="21"/>
          <w:fitText w:val="1200" w:id="-1231310324"/>
        </w:rPr>
        <w:t>法定代表人</w:t>
      </w:r>
      <w:r>
        <w:rPr>
          <w:rFonts w:hint="eastAsia"/>
          <w:sz w:val="24"/>
          <w:szCs w:val="21"/>
        </w:rPr>
        <w:t>：</w:t>
      </w:r>
      <w:r>
        <w:rPr>
          <w:rFonts w:hint="eastAsia"/>
          <w:bCs/>
          <w:sz w:val="24"/>
          <w:szCs w:val="21"/>
          <w:u w:val="single"/>
        </w:rPr>
        <w:t xml:space="preserve">          </w:t>
      </w:r>
      <w:r>
        <w:rPr>
          <w:rFonts w:hint="eastAsia"/>
          <w:sz w:val="24"/>
          <w:szCs w:val="21"/>
        </w:rPr>
        <w:t>（签字或盖章）</w:t>
      </w:r>
    </w:p>
    <w:p>
      <w:pPr>
        <w:adjustRightInd w:val="0"/>
        <w:snapToGrid w:val="0"/>
        <w:spacing w:line="360" w:lineRule="auto"/>
        <w:ind w:firstLine="1920"/>
        <w:jc w:val="right"/>
        <w:rPr>
          <w:sz w:val="24"/>
          <w:szCs w:val="21"/>
        </w:rPr>
      </w:pPr>
      <w:r>
        <w:rPr>
          <w:rFonts w:hint="eastAsia"/>
          <w:bCs/>
          <w:spacing w:val="360"/>
          <w:kern w:val="0"/>
          <w:sz w:val="24"/>
          <w:szCs w:val="21"/>
          <w:fitText w:val="1200" w:id="-1231310323"/>
        </w:rPr>
        <w:t>日</w:t>
      </w:r>
      <w:r>
        <w:rPr>
          <w:rFonts w:hint="eastAsia"/>
          <w:bCs/>
          <w:spacing w:val="0"/>
          <w:kern w:val="0"/>
          <w:sz w:val="24"/>
          <w:szCs w:val="21"/>
          <w:fitText w:val="1200" w:id="-1231310323"/>
        </w:rPr>
        <w:t>期</w:t>
      </w:r>
      <w:r>
        <w:rPr>
          <w:rFonts w:hint="eastAsia"/>
          <w:sz w:val="24"/>
          <w:szCs w:val="21"/>
        </w:rPr>
        <w:t>：</w:t>
      </w:r>
      <w:r>
        <w:rPr>
          <w:rFonts w:hint="eastAsia"/>
          <w:sz w:val="24"/>
          <w:szCs w:val="21"/>
          <w:u w:val="single"/>
        </w:rPr>
        <w:t xml:space="preserve">       </w:t>
      </w:r>
      <w:r>
        <w:rPr>
          <w:rFonts w:hint="eastAsia"/>
          <w:sz w:val="24"/>
          <w:szCs w:val="21"/>
        </w:rPr>
        <w:t>年</w:t>
      </w:r>
      <w:r>
        <w:rPr>
          <w:rFonts w:hint="eastAsia"/>
          <w:sz w:val="24"/>
          <w:szCs w:val="21"/>
          <w:u w:val="single"/>
        </w:rPr>
        <w:t xml:space="preserve">     </w:t>
      </w:r>
      <w:r>
        <w:rPr>
          <w:rFonts w:hint="eastAsia"/>
          <w:sz w:val="24"/>
          <w:szCs w:val="21"/>
        </w:rPr>
        <w:t>月</w:t>
      </w:r>
      <w:r>
        <w:rPr>
          <w:rFonts w:hint="eastAsia"/>
          <w:sz w:val="24"/>
          <w:szCs w:val="21"/>
          <w:u w:val="single"/>
        </w:rPr>
        <w:t xml:space="preserve">      </w:t>
      </w:r>
      <w:r>
        <w:rPr>
          <w:rFonts w:hint="eastAsia"/>
          <w:sz w:val="24"/>
          <w:szCs w:val="21"/>
        </w:rPr>
        <w:t>日</w:t>
      </w:r>
    </w:p>
    <w:p>
      <w:pPr>
        <w:spacing w:line="360" w:lineRule="auto"/>
        <w:ind w:left="420" w:leftChars="200" w:firstLine="4" w:firstLineChars="2"/>
        <w:rPr>
          <w:sz w:val="24"/>
        </w:rPr>
      </w:pPr>
    </w:p>
    <w:p>
      <w:pPr>
        <w:adjustRightInd w:val="0"/>
        <w:snapToGrid w:val="0"/>
        <w:spacing w:line="360" w:lineRule="auto"/>
        <w:ind w:firstLineChars="0"/>
        <w:rPr>
          <w:b/>
          <w:bCs/>
          <w:sz w:val="24"/>
        </w:rPr>
      </w:pPr>
      <w:r>
        <w:rPr>
          <w:b/>
          <w:bCs/>
          <w:sz w:val="24"/>
        </w:rPr>
        <w:br w:type="page"/>
      </w:r>
    </w:p>
    <w:p>
      <w:pPr>
        <w:spacing w:beforeLines="100" w:afterLines="100"/>
        <w:ind w:firstLine="0" w:firstLineChars="0"/>
        <w:jc w:val="center"/>
        <w:outlineLvl w:val="3"/>
        <w:rPr>
          <w:rFonts w:ascii="黑体" w:hAnsi="黑体" w:eastAsia="黑体" w:cs="黑体"/>
          <w:sz w:val="24"/>
        </w:rPr>
      </w:pPr>
      <w:bookmarkStart w:id="717" w:name="_Toc14201417"/>
      <w:bookmarkStart w:id="718" w:name="_Toc26657095"/>
      <w:bookmarkStart w:id="719" w:name="_Toc7224"/>
      <w:r>
        <w:rPr>
          <w:rFonts w:hint="eastAsia" w:ascii="黑体" w:hAnsi="黑体" w:eastAsia="黑体" w:cs="黑体"/>
          <w:sz w:val="24"/>
        </w:rPr>
        <w:t>（五）项目经理（项目总工）简历</w:t>
      </w:r>
      <w:bookmarkEnd w:id="717"/>
      <w:r>
        <w:rPr>
          <w:rFonts w:hint="eastAsia" w:ascii="黑体" w:hAnsi="黑体" w:eastAsia="黑体" w:cs="黑体"/>
          <w:sz w:val="24"/>
        </w:rPr>
        <w:t>表</w:t>
      </w:r>
      <w:bookmarkEnd w:id="718"/>
      <w:bookmarkEnd w:id="719"/>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9"/>
        <w:gridCol w:w="1330"/>
        <w:gridCol w:w="598"/>
        <w:gridCol w:w="405"/>
        <w:gridCol w:w="194"/>
        <w:gridCol w:w="1368"/>
        <w:gridCol w:w="1177"/>
        <w:gridCol w:w="363"/>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ind w:firstLine="0" w:firstLineChars="0"/>
              <w:jc w:val="center"/>
              <w:rPr>
                <w:sz w:val="24"/>
              </w:rPr>
            </w:pPr>
            <w:r>
              <w:rPr>
                <w:sz w:val="24"/>
              </w:rPr>
              <w:t>姓  名</w:t>
            </w:r>
          </w:p>
        </w:tc>
        <w:tc>
          <w:tcPr>
            <w:tcW w:w="792" w:type="pct"/>
            <w:gridSpan w:val="2"/>
            <w:vAlign w:val="center"/>
          </w:tcPr>
          <w:p>
            <w:pPr>
              <w:ind w:firstLine="0" w:firstLineChars="0"/>
              <w:jc w:val="center"/>
              <w:rPr>
                <w:sz w:val="24"/>
              </w:rPr>
            </w:pPr>
          </w:p>
        </w:tc>
        <w:tc>
          <w:tcPr>
            <w:tcW w:w="703" w:type="pct"/>
            <w:gridSpan w:val="3"/>
            <w:vAlign w:val="center"/>
          </w:tcPr>
          <w:p>
            <w:pPr>
              <w:ind w:firstLine="0" w:firstLineChars="0"/>
              <w:jc w:val="center"/>
              <w:rPr>
                <w:sz w:val="24"/>
              </w:rPr>
            </w:pPr>
            <w:r>
              <w:rPr>
                <w:sz w:val="24"/>
              </w:rPr>
              <w:t>年 龄</w:t>
            </w:r>
          </w:p>
        </w:tc>
        <w:tc>
          <w:tcPr>
            <w:tcW w:w="803" w:type="pct"/>
            <w:vAlign w:val="center"/>
          </w:tcPr>
          <w:p>
            <w:pPr>
              <w:ind w:firstLine="0" w:firstLineChars="0"/>
              <w:jc w:val="center"/>
              <w:rPr>
                <w:sz w:val="24"/>
              </w:rPr>
            </w:pPr>
          </w:p>
        </w:tc>
        <w:tc>
          <w:tcPr>
            <w:tcW w:w="904" w:type="pct"/>
            <w:gridSpan w:val="2"/>
            <w:vAlign w:val="center"/>
          </w:tcPr>
          <w:p>
            <w:pPr>
              <w:ind w:firstLine="0" w:firstLineChars="0"/>
              <w:jc w:val="center"/>
              <w:rPr>
                <w:sz w:val="24"/>
              </w:rPr>
            </w:pPr>
            <w:r>
              <w:rPr>
                <w:sz w:val="24"/>
              </w:rPr>
              <w:t>学 历</w:t>
            </w:r>
          </w:p>
        </w:tc>
        <w:tc>
          <w:tcPr>
            <w:tcW w:w="1096"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ind w:firstLine="0" w:firstLineChars="0"/>
              <w:jc w:val="center"/>
              <w:rPr>
                <w:sz w:val="24"/>
              </w:rPr>
            </w:pPr>
            <w:r>
              <w:rPr>
                <w:sz w:val="24"/>
              </w:rPr>
              <w:t>职  称</w:t>
            </w:r>
          </w:p>
        </w:tc>
        <w:tc>
          <w:tcPr>
            <w:tcW w:w="792" w:type="pct"/>
            <w:gridSpan w:val="2"/>
            <w:vAlign w:val="center"/>
          </w:tcPr>
          <w:p>
            <w:pPr>
              <w:ind w:firstLine="0" w:firstLineChars="0"/>
              <w:jc w:val="center"/>
              <w:rPr>
                <w:sz w:val="24"/>
              </w:rPr>
            </w:pPr>
          </w:p>
        </w:tc>
        <w:tc>
          <w:tcPr>
            <w:tcW w:w="703" w:type="pct"/>
            <w:gridSpan w:val="3"/>
            <w:vAlign w:val="center"/>
          </w:tcPr>
          <w:p>
            <w:pPr>
              <w:ind w:firstLine="0" w:firstLineChars="0"/>
              <w:jc w:val="center"/>
              <w:rPr>
                <w:sz w:val="24"/>
              </w:rPr>
            </w:pPr>
            <w:r>
              <w:rPr>
                <w:sz w:val="24"/>
              </w:rPr>
              <w:t>单位</w:t>
            </w:r>
          </w:p>
          <w:p>
            <w:pPr>
              <w:ind w:firstLine="0" w:firstLineChars="0"/>
              <w:jc w:val="center"/>
              <w:rPr>
                <w:sz w:val="24"/>
              </w:rPr>
            </w:pPr>
            <w:r>
              <w:rPr>
                <w:sz w:val="24"/>
              </w:rPr>
              <w:t>职务</w:t>
            </w:r>
          </w:p>
        </w:tc>
        <w:tc>
          <w:tcPr>
            <w:tcW w:w="803" w:type="pct"/>
            <w:vAlign w:val="center"/>
          </w:tcPr>
          <w:p>
            <w:pPr>
              <w:ind w:firstLine="0" w:firstLineChars="0"/>
              <w:jc w:val="center"/>
              <w:rPr>
                <w:sz w:val="24"/>
              </w:rPr>
            </w:pPr>
          </w:p>
        </w:tc>
        <w:tc>
          <w:tcPr>
            <w:tcW w:w="904" w:type="pct"/>
            <w:gridSpan w:val="2"/>
            <w:vAlign w:val="center"/>
          </w:tcPr>
          <w:p>
            <w:pPr>
              <w:ind w:firstLine="0" w:firstLineChars="0"/>
              <w:jc w:val="center"/>
              <w:rPr>
                <w:sz w:val="24"/>
              </w:rPr>
            </w:pPr>
            <w:r>
              <w:rPr>
                <w:sz w:val="24"/>
              </w:rPr>
              <w:t>拟在本标段</w:t>
            </w:r>
          </w:p>
          <w:p>
            <w:pPr>
              <w:ind w:firstLine="0" w:firstLineChars="0"/>
              <w:jc w:val="center"/>
              <w:rPr>
                <w:sz w:val="24"/>
              </w:rPr>
            </w:pPr>
            <w:r>
              <w:rPr>
                <w:sz w:val="24"/>
              </w:rPr>
              <w:t>工程担任职务</w:t>
            </w:r>
          </w:p>
        </w:tc>
        <w:tc>
          <w:tcPr>
            <w:tcW w:w="1096"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ind w:firstLine="0" w:firstLineChars="0"/>
              <w:jc w:val="center"/>
              <w:rPr>
                <w:sz w:val="24"/>
              </w:rPr>
            </w:pPr>
            <w:r>
              <w:rPr>
                <w:sz w:val="24"/>
              </w:rPr>
              <w:t>毕业学校</w:t>
            </w:r>
          </w:p>
        </w:tc>
        <w:tc>
          <w:tcPr>
            <w:tcW w:w="4298" w:type="pct"/>
            <w:gridSpan w:val="9"/>
            <w:vAlign w:val="center"/>
          </w:tcPr>
          <w:p>
            <w:pPr>
              <w:ind w:firstLine="0" w:firstLineChars="0"/>
              <w:rPr>
                <w:sz w:val="24"/>
              </w:rPr>
            </w:pPr>
            <w:r>
              <w:rPr>
                <w:sz w:val="24"/>
                <w:u w:val="single"/>
              </w:rPr>
              <w:t xml:space="preserve">    </w:t>
            </w:r>
            <w:r>
              <w:rPr>
                <w:sz w:val="24"/>
              </w:rPr>
              <w:t>年</w:t>
            </w:r>
            <w:r>
              <w:rPr>
                <w:sz w:val="24"/>
                <w:u w:val="single"/>
              </w:rPr>
              <w:t xml:space="preserve">  </w:t>
            </w:r>
            <w:r>
              <w:rPr>
                <w:sz w:val="24"/>
              </w:rPr>
              <w:t>月毕业于</w:t>
            </w:r>
            <w:r>
              <w:rPr>
                <w:sz w:val="24"/>
                <w:u w:val="single"/>
              </w:rPr>
              <w:t xml:space="preserve">            </w:t>
            </w:r>
            <w:r>
              <w:rPr>
                <w:sz w:val="24"/>
              </w:rPr>
              <w:t>学校</w:t>
            </w:r>
            <w:r>
              <w:rPr>
                <w:sz w:val="24"/>
                <w:u w:val="single"/>
              </w:rPr>
              <w:t xml:space="preserve">        </w:t>
            </w:r>
            <w:r>
              <w:rPr>
                <w:sz w:val="24"/>
              </w:rPr>
              <w:t>专业，学制</w:t>
            </w:r>
            <w:r>
              <w:rPr>
                <w:sz w:val="24"/>
                <w:u w:val="single"/>
              </w:rPr>
              <w:t xml:space="preserve">   </w:t>
            </w:r>
            <w:r>
              <w:rPr>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0"/>
            <w:vAlign w:val="center"/>
          </w:tcPr>
          <w:p>
            <w:pPr>
              <w:ind w:firstLine="0" w:firstLineChars="0"/>
              <w:jc w:val="center"/>
              <w:rPr>
                <w:sz w:val="24"/>
              </w:rPr>
            </w:pPr>
            <w:r>
              <w:rPr>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ind w:firstLine="0" w:firstLineChars="0"/>
              <w:jc w:val="center"/>
              <w:rPr>
                <w:sz w:val="24"/>
              </w:rPr>
            </w:pPr>
            <w:r>
              <w:rPr>
                <w:sz w:val="24"/>
              </w:rPr>
              <w:t>时间</w:t>
            </w:r>
          </w:p>
        </w:tc>
        <w:tc>
          <w:tcPr>
            <w:tcW w:w="1370" w:type="pct"/>
            <w:gridSpan w:val="3"/>
            <w:vAlign w:val="center"/>
          </w:tcPr>
          <w:p>
            <w:pPr>
              <w:ind w:firstLine="0" w:firstLineChars="0"/>
              <w:jc w:val="center"/>
              <w:rPr>
                <w:sz w:val="24"/>
              </w:rPr>
            </w:pPr>
            <w:r>
              <w:rPr>
                <w:sz w:val="24"/>
              </w:rPr>
              <w:t>参加过的工程项目名称</w:t>
            </w:r>
          </w:p>
        </w:tc>
        <w:tc>
          <w:tcPr>
            <w:tcW w:w="917" w:type="pct"/>
            <w:gridSpan w:val="2"/>
            <w:vAlign w:val="center"/>
          </w:tcPr>
          <w:p>
            <w:pPr>
              <w:ind w:firstLine="0" w:firstLineChars="0"/>
              <w:jc w:val="center"/>
              <w:rPr>
                <w:sz w:val="24"/>
              </w:rPr>
            </w:pPr>
            <w:r>
              <w:rPr>
                <w:sz w:val="24"/>
              </w:rPr>
              <w:t>签约合同价金额（万元）</w:t>
            </w:r>
          </w:p>
        </w:tc>
        <w:tc>
          <w:tcPr>
            <w:tcW w:w="691" w:type="pct"/>
            <w:vAlign w:val="center"/>
          </w:tcPr>
          <w:p>
            <w:pPr>
              <w:ind w:firstLine="0" w:firstLineChars="0"/>
              <w:jc w:val="center"/>
              <w:rPr>
                <w:sz w:val="24"/>
              </w:rPr>
            </w:pPr>
            <w:r>
              <w:rPr>
                <w:sz w:val="24"/>
              </w:rPr>
              <w:t>担任职务</w:t>
            </w:r>
          </w:p>
        </w:tc>
        <w:tc>
          <w:tcPr>
            <w:tcW w:w="1309" w:type="pct"/>
            <w:gridSpan w:val="2"/>
            <w:vAlign w:val="center"/>
          </w:tcPr>
          <w:p>
            <w:pPr>
              <w:ind w:firstLine="0" w:firstLineChars="0"/>
              <w:rPr>
                <w:sz w:val="24"/>
              </w:rPr>
            </w:pPr>
            <w:r>
              <w:rPr>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ind w:firstLine="0" w:firstLineChars="0"/>
              <w:rPr>
                <w:sz w:val="24"/>
              </w:rPr>
            </w:pPr>
          </w:p>
        </w:tc>
        <w:tc>
          <w:tcPr>
            <w:tcW w:w="1370" w:type="pct"/>
            <w:gridSpan w:val="3"/>
          </w:tcPr>
          <w:p>
            <w:pPr>
              <w:ind w:firstLine="0" w:firstLineChars="0"/>
              <w:rPr>
                <w:sz w:val="24"/>
              </w:rPr>
            </w:pPr>
          </w:p>
        </w:tc>
        <w:tc>
          <w:tcPr>
            <w:tcW w:w="917" w:type="pct"/>
            <w:gridSpan w:val="2"/>
          </w:tcPr>
          <w:p>
            <w:pPr>
              <w:ind w:firstLine="0" w:firstLineChars="0"/>
              <w:rPr>
                <w:sz w:val="24"/>
              </w:rPr>
            </w:pPr>
          </w:p>
        </w:tc>
        <w:tc>
          <w:tcPr>
            <w:tcW w:w="691" w:type="pct"/>
          </w:tcPr>
          <w:p>
            <w:pPr>
              <w:ind w:firstLine="0" w:firstLineChars="0"/>
              <w:rPr>
                <w:sz w:val="24"/>
              </w:rPr>
            </w:pPr>
          </w:p>
        </w:tc>
        <w:tc>
          <w:tcPr>
            <w:tcW w:w="1309" w:type="pct"/>
            <w:gridSpan w:val="2"/>
          </w:tcPr>
          <w:p>
            <w:pPr>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ind w:firstLine="0" w:firstLineChars="0"/>
              <w:rPr>
                <w:sz w:val="24"/>
              </w:rPr>
            </w:pPr>
          </w:p>
        </w:tc>
        <w:tc>
          <w:tcPr>
            <w:tcW w:w="1370" w:type="pct"/>
            <w:gridSpan w:val="3"/>
          </w:tcPr>
          <w:p>
            <w:pPr>
              <w:ind w:firstLine="0" w:firstLineChars="0"/>
              <w:rPr>
                <w:sz w:val="24"/>
              </w:rPr>
            </w:pPr>
          </w:p>
        </w:tc>
        <w:tc>
          <w:tcPr>
            <w:tcW w:w="917" w:type="pct"/>
            <w:gridSpan w:val="2"/>
          </w:tcPr>
          <w:p>
            <w:pPr>
              <w:ind w:firstLine="0" w:firstLineChars="0"/>
              <w:rPr>
                <w:sz w:val="24"/>
              </w:rPr>
            </w:pPr>
          </w:p>
        </w:tc>
        <w:tc>
          <w:tcPr>
            <w:tcW w:w="691" w:type="pct"/>
          </w:tcPr>
          <w:p>
            <w:pPr>
              <w:ind w:firstLine="0" w:firstLineChars="0"/>
              <w:rPr>
                <w:sz w:val="24"/>
              </w:rPr>
            </w:pPr>
          </w:p>
        </w:tc>
        <w:tc>
          <w:tcPr>
            <w:tcW w:w="1309" w:type="pct"/>
            <w:gridSpan w:val="2"/>
          </w:tcPr>
          <w:p>
            <w:pPr>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ind w:firstLine="0" w:firstLineChars="0"/>
              <w:rPr>
                <w:sz w:val="24"/>
              </w:rPr>
            </w:pPr>
          </w:p>
        </w:tc>
        <w:tc>
          <w:tcPr>
            <w:tcW w:w="1370" w:type="pct"/>
            <w:gridSpan w:val="3"/>
          </w:tcPr>
          <w:p>
            <w:pPr>
              <w:ind w:firstLine="0" w:firstLineChars="0"/>
              <w:rPr>
                <w:sz w:val="24"/>
              </w:rPr>
            </w:pPr>
          </w:p>
        </w:tc>
        <w:tc>
          <w:tcPr>
            <w:tcW w:w="917" w:type="pct"/>
            <w:gridSpan w:val="2"/>
          </w:tcPr>
          <w:p>
            <w:pPr>
              <w:ind w:firstLine="0" w:firstLineChars="0"/>
              <w:rPr>
                <w:sz w:val="24"/>
              </w:rPr>
            </w:pPr>
          </w:p>
        </w:tc>
        <w:tc>
          <w:tcPr>
            <w:tcW w:w="691" w:type="pct"/>
          </w:tcPr>
          <w:p>
            <w:pPr>
              <w:ind w:firstLine="0" w:firstLineChars="0"/>
              <w:rPr>
                <w:sz w:val="24"/>
              </w:rPr>
            </w:pPr>
          </w:p>
        </w:tc>
        <w:tc>
          <w:tcPr>
            <w:tcW w:w="1309" w:type="pct"/>
            <w:gridSpan w:val="2"/>
          </w:tcPr>
          <w:p>
            <w:pPr>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ind w:firstLine="0" w:firstLineChars="0"/>
              <w:rPr>
                <w:sz w:val="24"/>
              </w:rPr>
            </w:pPr>
          </w:p>
        </w:tc>
        <w:tc>
          <w:tcPr>
            <w:tcW w:w="1370" w:type="pct"/>
            <w:gridSpan w:val="3"/>
            <w:vAlign w:val="center"/>
          </w:tcPr>
          <w:p>
            <w:pPr>
              <w:ind w:firstLine="0" w:firstLineChars="0"/>
              <w:rPr>
                <w:sz w:val="24"/>
              </w:rPr>
            </w:pPr>
          </w:p>
        </w:tc>
        <w:tc>
          <w:tcPr>
            <w:tcW w:w="917" w:type="pct"/>
            <w:gridSpan w:val="2"/>
            <w:vAlign w:val="center"/>
          </w:tcPr>
          <w:p>
            <w:pPr>
              <w:ind w:firstLine="0" w:firstLineChars="0"/>
              <w:rPr>
                <w:sz w:val="24"/>
              </w:rPr>
            </w:pPr>
          </w:p>
        </w:tc>
        <w:tc>
          <w:tcPr>
            <w:tcW w:w="691" w:type="pct"/>
            <w:vAlign w:val="center"/>
          </w:tcPr>
          <w:p>
            <w:pPr>
              <w:ind w:firstLine="0" w:firstLineChars="0"/>
              <w:rPr>
                <w:sz w:val="24"/>
              </w:rPr>
            </w:pPr>
          </w:p>
        </w:tc>
        <w:tc>
          <w:tcPr>
            <w:tcW w:w="1309" w:type="pct"/>
            <w:gridSpan w:val="2"/>
            <w:vAlign w:val="center"/>
          </w:tcPr>
          <w:p>
            <w:pPr>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ind w:firstLine="0" w:firstLineChars="0"/>
              <w:rPr>
                <w:sz w:val="24"/>
              </w:rPr>
            </w:pPr>
          </w:p>
        </w:tc>
        <w:tc>
          <w:tcPr>
            <w:tcW w:w="1370" w:type="pct"/>
            <w:gridSpan w:val="3"/>
            <w:vAlign w:val="center"/>
          </w:tcPr>
          <w:p>
            <w:pPr>
              <w:ind w:firstLine="0" w:firstLineChars="0"/>
              <w:rPr>
                <w:sz w:val="24"/>
              </w:rPr>
            </w:pPr>
          </w:p>
        </w:tc>
        <w:tc>
          <w:tcPr>
            <w:tcW w:w="917" w:type="pct"/>
            <w:gridSpan w:val="2"/>
            <w:vAlign w:val="center"/>
          </w:tcPr>
          <w:p>
            <w:pPr>
              <w:ind w:firstLine="0" w:firstLineChars="0"/>
              <w:rPr>
                <w:sz w:val="24"/>
              </w:rPr>
            </w:pPr>
          </w:p>
        </w:tc>
        <w:tc>
          <w:tcPr>
            <w:tcW w:w="691" w:type="pct"/>
            <w:vAlign w:val="center"/>
          </w:tcPr>
          <w:p>
            <w:pPr>
              <w:ind w:firstLine="0" w:firstLineChars="0"/>
              <w:rPr>
                <w:sz w:val="24"/>
              </w:rPr>
            </w:pPr>
          </w:p>
        </w:tc>
        <w:tc>
          <w:tcPr>
            <w:tcW w:w="1309" w:type="pct"/>
            <w:gridSpan w:val="2"/>
            <w:vAlign w:val="center"/>
          </w:tcPr>
          <w:p>
            <w:pPr>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ind w:firstLine="0" w:firstLineChars="0"/>
              <w:rPr>
                <w:sz w:val="24"/>
              </w:rPr>
            </w:pPr>
          </w:p>
        </w:tc>
        <w:tc>
          <w:tcPr>
            <w:tcW w:w="1370" w:type="pct"/>
            <w:gridSpan w:val="3"/>
            <w:vAlign w:val="center"/>
          </w:tcPr>
          <w:p>
            <w:pPr>
              <w:ind w:firstLine="0" w:firstLineChars="0"/>
              <w:rPr>
                <w:sz w:val="24"/>
              </w:rPr>
            </w:pPr>
          </w:p>
        </w:tc>
        <w:tc>
          <w:tcPr>
            <w:tcW w:w="917" w:type="pct"/>
            <w:gridSpan w:val="2"/>
            <w:vAlign w:val="center"/>
          </w:tcPr>
          <w:p>
            <w:pPr>
              <w:ind w:firstLine="0" w:firstLineChars="0"/>
              <w:rPr>
                <w:sz w:val="24"/>
              </w:rPr>
            </w:pPr>
          </w:p>
        </w:tc>
        <w:tc>
          <w:tcPr>
            <w:tcW w:w="691" w:type="pct"/>
            <w:vAlign w:val="center"/>
          </w:tcPr>
          <w:p>
            <w:pPr>
              <w:ind w:firstLine="0" w:firstLineChars="0"/>
              <w:rPr>
                <w:sz w:val="24"/>
              </w:rPr>
            </w:pPr>
          </w:p>
        </w:tc>
        <w:tc>
          <w:tcPr>
            <w:tcW w:w="1309" w:type="pct"/>
            <w:gridSpan w:val="2"/>
            <w:vAlign w:val="center"/>
          </w:tcPr>
          <w:p>
            <w:pPr>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ind w:firstLine="0" w:firstLineChars="0"/>
              <w:rPr>
                <w:sz w:val="24"/>
              </w:rPr>
            </w:pPr>
          </w:p>
        </w:tc>
        <w:tc>
          <w:tcPr>
            <w:tcW w:w="1370" w:type="pct"/>
            <w:gridSpan w:val="3"/>
            <w:vAlign w:val="center"/>
          </w:tcPr>
          <w:p>
            <w:pPr>
              <w:ind w:firstLine="0" w:firstLineChars="0"/>
              <w:rPr>
                <w:sz w:val="24"/>
              </w:rPr>
            </w:pPr>
          </w:p>
        </w:tc>
        <w:tc>
          <w:tcPr>
            <w:tcW w:w="917" w:type="pct"/>
            <w:gridSpan w:val="2"/>
            <w:tcBorders>
              <w:right w:val="single" w:color="auto" w:sz="8" w:space="0"/>
            </w:tcBorders>
            <w:vAlign w:val="center"/>
          </w:tcPr>
          <w:p>
            <w:pPr>
              <w:ind w:firstLine="0" w:firstLineChars="0"/>
              <w:rPr>
                <w:sz w:val="24"/>
              </w:rPr>
            </w:pPr>
          </w:p>
        </w:tc>
        <w:tc>
          <w:tcPr>
            <w:tcW w:w="691" w:type="pct"/>
            <w:tcBorders>
              <w:left w:val="single" w:color="auto" w:sz="8" w:space="0"/>
            </w:tcBorders>
            <w:vAlign w:val="center"/>
          </w:tcPr>
          <w:p>
            <w:pPr>
              <w:ind w:firstLine="0" w:firstLineChars="0"/>
              <w:rPr>
                <w:sz w:val="24"/>
              </w:rPr>
            </w:pPr>
          </w:p>
        </w:tc>
        <w:tc>
          <w:tcPr>
            <w:tcW w:w="1309" w:type="pct"/>
            <w:gridSpan w:val="2"/>
            <w:vAlign w:val="center"/>
          </w:tcPr>
          <w:p>
            <w:pPr>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ind w:firstLine="0" w:firstLineChars="0"/>
              <w:rPr>
                <w:sz w:val="24"/>
              </w:rPr>
            </w:pPr>
            <w:r>
              <w:rPr>
                <w:sz w:val="24"/>
              </w:rPr>
              <w:t>获奖情况</w:t>
            </w:r>
          </w:p>
        </w:tc>
        <w:tc>
          <w:tcPr>
            <w:tcW w:w="4287" w:type="pct"/>
            <w:gridSpan w:val="8"/>
            <w:vAlign w:val="center"/>
          </w:tcPr>
          <w:p>
            <w:pPr>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845" w:type="pct"/>
            <w:gridSpan w:val="4"/>
            <w:vAlign w:val="center"/>
          </w:tcPr>
          <w:p>
            <w:pPr>
              <w:ind w:firstLine="0" w:firstLineChars="0"/>
              <w:rPr>
                <w:sz w:val="24"/>
              </w:rPr>
            </w:pPr>
            <w:r>
              <w:rPr>
                <w:sz w:val="24"/>
              </w:rPr>
              <w:t>说明在岗情况</w:t>
            </w:r>
          </w:p>
        </w:tc>
        <w:tc>
          <w:tcPr>
            <w:tcW w:w="3155" w:type="pct"/>
            <w:gridSpan w:val="6"/>
            <w:vAlign w:val="center"/>
          </w:tcPr>
          <w:p>
            <w:pPr>
              <w:widowControl/>
              <w:ind w:firstLine="0" w:firstLineChars="0"/>
              <w:rPr>
                <w:snapToGrid w:val="0"/>
                <w:kern w:val="0"/>
                <w:sz w:val="24"/>
                <w:u w:val="single"/>
              </w:rPr>
            </w:pPr>
            <w:r>
              <w:rPr>
                <w:snapToGrid w:val="0"/>
                <w:kern w:val="0"/>
                <w:sz w:val="24"/>
              </w:rPr>
              <w:t>□目前未在其他项目上任职，现从事工作为：______</w:t>
            </w:r>
          </w:p>
          <w:p>
            <w:pPr>
              <w:widowControl/>
              <w:ind w:firstLine="0" w:firstLineChars="0"/>
              <w:rPr>
                <w:snapToGrid w:val="0"/>
                <w:kern w:val="0"/>
                <w:sz w:val="24"/>
              </w:rPr>
            </w:pPr>
            <w:r>
              <w:rPr>
                <w:snapToGrid w:val="0"/>
                <w:kern w:val="0"/>
                <w:sz w:val="24"/>
              </w:rPr>
              <w:t>□目前虽在其他项目上任职，但</w:t>
            </w:r>
            <w:r>
              <w:rPr>
                <w:rFonts w:hint="eastAsia"/>
                <w:snapToGrid w:val="0"/>
                <w:kern w:val="0"/>
                <w:sz w:val="24"/>
              </w:rPr>
              <w:t>本招标项目</w:t>
            </w:r>
            <w:r>
              <w:rPr>
                <w:snapToGrid w:val="0"/>
                <w:kern w:val="0"/>
                <w:sz w:val="24"/>
              </w:rPr>
              <w:t>中标后能够撤离，目前任职项目：______，担任职位：_____。</w:t>
            </w:r>
          </w:p>
        </w:tc>
      </w:tr>
    </w:tbl>
    <w:p>
      <w:pPr>
        <w:tabs>
          <w:tab w:val="left" w:pos="2580"/>
          <w:tab w:val="left" w:pos="5940"/>
        </w:tabs>
        <w:autoSpaceDE w:val="0"/>
        <w:autoSpaceDN w:val="0"/>
        <w:adjustRightInd w:val="0"/>
        <w:snapToGrid w:val="0"/>
        <w:spacing w:line="360" w:lineRule="auto"/>
        <w:ind w:firstLineChars="0"/>
        <w:jc w:val="left"/>
        <w:rPr>
          <w:spacing w:val="-6"/>
          <w:sz w:val="24"/>
        </w:rPr>
      </w:pPr>
      <w:r>
        <w:rPr>
          <w:spacing w:val="-6"/>
          <w:sz w:val="24"/>
        </w:rPr>
        <w:t>注：</w:t>
      </w:r>
    </w:p>
    <w:p>
      <w:pPr>
        <w:tabs>
          <w:tab w:val="left" w:pos="2580"/>
          <w:tab w:val="left" w:pos="5940"/>
        </w:tabs>
        <w:autoSpaceDE w:val="0"/>
        <w:autoSpaceDN w:val="0"/>
        <w:adjustRightInd w:val="0"/>
        <w:snapToGrid w:val="0"/>
        <w:spacing w:line="360" w:lineRule="auto"/>
        <w:ind w:firstLineChars="0"/>
        <w:jc w:val="left"/>
        <w:rPr>
          <w:spacing w:val="-6"/>
          <w:sz w:val="24"/>
        </w:rPr>
      </w:pPr>
      <w:r>
        <w:rPr>
          <w:spacing w:val="-6"/>
          <w:sz w:val="24"/>
        </w:rPr>
        <w:t>1.本表应填写项目经理和项目总工相关情况。</w:t>
      </w:r>
    </w:p>
    <w:p>
      <w:pPr>
        <w:tabs>
          <w:tab w:val="left" w:pos="2580"/>
          <w:tab w:val="left" w:pos="5940"/>
        </w:tabs>
        <w:autoSpaceDE w:val="0"/>
        <w:autoSpaceDN w:val="0"/>
        <w:adjustRightInd w:val="0"/>
        <w:snapToGrid w:val="0"/>
        <w:spacing w:line="360" w:lineRule="auto"/>
        <w:ind w:firstLineChars="0"/>
        <w:jc w:val="left"/>
        <w:rPr>
          <w:b/>
          <w:bCs/>
          <w:sz w:val="24"/>
        </w:rPr>
      </w:pPr>
      <w:r>
        <w:rPr>
          <w:spacing w:val="-6"/>
          <w:sz w:val="24"/>
        </w:rPr>
        <w:t>2.投标人应根据招标文件第二章</w:t>
      </w:r>
      <w:r>
        <w:rPr>
          <w:rFonts w:hint="eastAsia" w:ascii="宋体" w:hAnsi="宋体" w:cs="宋体"/>
          <w:spacing w:val="-6"/>
          <w:sz w:val="24"/>
        </w:rPr>
        <w:t>“投标人须知”</w:t>
      </w:r>
      <w:r>
        <w:rPr>
          <w:kern w:val="0"/>
          <w:sz w:val="24"/>
        </w:rPr>
        <w:t>第3.5.5项</w:t>
      </w:r>
      <w:r>
        <w:rPr>
          <w:spacing w:val="-6"/>
          <w:sz w:val="24"/>
        </w:rPr>
        <w:t>的要求在本表后附相关证明材料。</w:t>
      </w:r>
    </w:p>
    <w:p>
      <w:pPr>
        <w:widowControl/>
        <w:ind w:firstLine="0" w:firstLineChars="0"/>
        <w:jc w:val="left"/>
        <w:rPr>
          <w:b/>
          <w:bCs/>
          <w:sz w:val="24"/>
        </w:rPr>
      </w:pPr>
      <w:r>
        <w:rPr>
          <w:b/>
          <w:bCs/>
          <w:sz w:val="24"/>
        </w:rPr>
        <w:br w:type="page"/>
      </w:r>
    </w:p>
    <w:p>
      <w:pPr>
        <w:numPr>
          <w:ilvl w:val="0"/>
          <w:numId w:val="3"/>
        </w:numPr>
        <w:spacing w:beforeLines="100" w:afterLines="100" w:line="360" w:lineRule="auto"/>
        <w:ind w:firstLineChars="0"/>
        <w:jc w:val="center"/>
        <w:outlineLvl w:val="3"/>
        <w:rPr>
          <w:rFonts w:ascii="黑体" w:hAnsi="黑体" w:eastAsia="黑体" w:cs="黑体"/>
          <w:bCs/>
          <w:kern w:val="0"/>
          <w:sz w:val="24"/>
        </w:rPr>
      </w:pPr>
      <w:r>
        <w:rPr>
          <w:rFonts w:hint="eastAsia" w:ascii="黑体" w:hAnsi="黑体" w:eastAsia="黑体" w:cs="黑体"/>
          <w:bCs/>
          <w:kern w:val="0"/>
          <w:sz w:val="24"/>
        </w:rPr>
        <w:t>项目经理（项目总工）近年完成的类似项目情况表</w:t>
      </w:r>
    </w:p>
    <w:p>
      <w:pPr>
        <w:numPr>
          <w:ilvl w:val="255"/>
          <w:numId w:val="0"/>
        </w:numPr>
        <w:spacing w:beforeLines="100" w:afterLines="100" w:line="360" w:lineRule="auto"/>
        <w:jc w:val="center"/>
        <w:rPr>
          <w:rFonts w:ascii="黑体" w:hAnsi="黑体" w:eastAsia="黑体" w:cs="黑体"/>
          <w:bCs/>
          <w:sz w:val="24"/>
        </w:rPr>
      </w:pPr>
      <w:r>
        <w:rPr>
          <w:rFonts w:hint="eastAsia" w:ascii="黑体" w:hAnsi="黑体" w:eastAsia="黑体" w:cs="黑体"/>
          <w:bCs/>
          <w:sz w:val="24"/>
        </w:rPr>
        <w:t>1.项目经理</w:t>
      </w:r>
      <w:r>
        <w:rPr>
          <w:rFonts w:hint="eastAsia" w:ascii="黑体" w:hAnsi="黑体" w:eastAsia="黑体" w:cs="黑体"/>
          <w:bCs/>
          <w:kern w:val="0"/>
          <w:sz w:val="24"/>
        </w:rPr>
        <w:t>近年完成的类似项目</w:t>
      </w:r>
      <w:r>
        <w:rPr>
          <w:rFonts w:hint="eastAsia" w:ascii="黑体" w:hAnsi="黑体" w:eastAsia="黑体" w:cs="黑体"/>
          <w:bCs/>
          <w:sz w:val="24"/>
        </w:rPr>
        <w:t>情况表（资格审查）</w:t>
      </w:r>
    </w:p>
    <w:tbl>
      <w:tblPr>
        <w:tblStyle w:val="5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1"/>
        <w:gridCol w:w="4984"/>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0" w:firstLineChars="0"/>
              <w:rPr>
                <w:b/>
                <w:sz w:val="24"/>
              </w:rPr>
            </w:pPr>
            <w:r>
              <w:rPr>
                <w:rFonts w:hint="eastAsia"/>
                <w:b/>
                <w:sz w:val="24"/>
              </w:rPr>
              <w:t>业绩序号</w:t>
            </w:r>
          </w:p>
        </w:tc>
        <w:tc>
          <w:tcPr>
            <w:tcW w:w="2926" w:type="pct"/>
            <w:noWrap/>
            <w:vAlign w:val="center"/>
          </w:tcPr>
          <w:p>
            <w:pPr>
              <w:spacing w:line="360" w:lineRule="auto"/>
              <w:ind w:firstLine="482"/>
              <w:jc w:val="center"/>
              <w:rPr>
                <w:b/>
                <w:sz w:val="24"/>
              </w:rPr>
            </w:pPr>
            <w:r>
              <w:rPr>
                <w:rFonts w:hint="eastAsia"/>
                <w:b/>
                <w:sz w:val="24"/>
              </w:rPr>
              <w:t>项目</w:t>
            </w:r>
            <w:r>
              <w:rPr>
                <w:b/>
                <w:sz w:val="24"/>
              </w:rPr>
              <w:t>名称</w:t>
            </w:r>
            <w:r>
              <w:rPr>
                <w:rFonts w:hint="eastAsia"/>
                <w:b/>
                <w:sz w:val="24"/>
              </w:rPr>
              <w:t>（合同名称）</w:t>
            </w:r>
          </w:p>
        </w:tc>
        <w:tc>
          <w:tcPr>
            <w:tcW w:w="1250" w:type="pct"/>
            <w:noWrap/>
            <w:vAlign w:val="center"/>
          </w:tcPr>
          <w:p>
            <w:pPr>
              <w:spacing w:line="360" w:lineRule="auto"/>
              <w:ind w:firstLine="482"/>
              <w:jc w:val="center"/>
              <w:rPr>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jc w:val="center"/>
              <w:rPr>
                <w:sz w:val="24"/>
              </w:rPr>
            </w:pPr>
            <w:r>
              <w:rPr>
                <w:rFonts w:hint="eastAsia"/>
                <w:sz w:val="24"/>
              </w:rPr>
              <w:t>1</w:t>
            </w:r>
          </w:p>
        </w:tc>
        <w:tc>
          <w:tcPr>
            <w:tcW w:w="2926" w:type="pct"/>
            <w:noWrap/>
            <w:vAlign w:val="center"/>
          </w:tcPr>
          <w:p>
            <w:pPr>
              <w:spacing w:line="360" w:lineRule="auto"/>
              <w:ind w:firstLine="480"/>
              <w:jc w:val="center"/>
              <w:rPr>
                <w:sz w:val="24"/>
              </w:rPr>
            </w:pPr>
          </w:p>
        </w:tc>
        <w:tc>
          <w:tcPr>
            <w:tcW w:w="1250"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jc w:val="center"/>
              <w:rPr>
                <w:sz w:val="24"/>
              </w:rPr>
            </w:pPr>
            <w:r>
              <w:rPr>
                <w:rFonts w:hint="eastAsia"/>
                <w:sz w:val="24"/>
              </w:rPr>
              <w:t>2</w:t>
            </w:r>
          </w:p>
        </w:tc>
        <w:tc>
          <w:tcPr>
            <w:tcW w:w="2926" w:type="pct"/>
            <w:noWrap/>
            <w:vAlign w:val="center"/>
          </w:tcPr>
          <w:p>
            <w:pPr>
              <w:spacing w:line="360" w:lineRule="auto"/>
              <w:ind w:firstLine="480"/>
              <w:jc w:val="center"/>
              <w:rPr>
                <w:sz w:val="24"/>
              </w:rPr>
            </w:pPr>
          </w:p>
        </w:tc>
        <w:tc>
          <w:tcPr>
            <w:tcW w:w="1250"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jc w:val="center"/>
              <w:rPr>
                <w:sz w:val="24"/>
              </w:rPr>
            </w:pPr>
            <w:r>
              <w:rPr>
                <w:rFonts w:hint="eastAsia"/>
                <w:sz w:val="24"/>
              </w:rPr>
              <w:t>……</w:t>
            </w:r>
          </w:p>
        </w:tc>
        <w:tc>
          <w:tcPr>
            <w:tcW w:w="2926" w:type="pct"/>
            <w:noWrap/>
            <w:vAlign w:val="center"/>
          </w:tcPr>
          <w:p>
            <w:pPr>
              <w:spacing w:line="360" w:lineRule="auto"/>
              <w:ind w:firstLine="480"/>
              <w:jc w:val="center"/>
              <w:rPr>
                <w:sz w:val="24"/>
              </w:rPr>
            </w:pPr>
          </w:p>
        </w:tc>
        <w:tc>
          <w:tcPr>
            <w:tcW w:w="1250" w:type="pct"/>
            <w:noWrap/>
            <w:vAlign w:val="center"/>
          </w:tcPr>
          <w:p>
            <w:pPr>
              <w:spacing w:line="360" w:lineRule="auto"/>
              <w:ind w:firstLine="480"/>
              <w:jc w:val="center"/>
              <w:rPr>
                <w:sz w:val="24"/>
              </w:rPr>
            </w:pPr>
          </w:p>
        </w:tc>
      </w:tr>
    </w:tbl>
    <w:p>
      <w:pPr>
        <w:spacing w:line="360" w:lineRule="auto"/>
        <w:ind w:firstLine="480"/>
        <w:rPr>
          <w:sz w:val="24"/>
        </w:rPr>
      </w:pPr>
      <w:r>
        <w:rPr>
          <w:rFonts w:hint="eastAsia"/>
          <w:sz w:val="24"/>
        </w:rPr>
        <w:t>注：</w:t>
      </w:r>
    </w:p>
    <w:p>
      <w:pPr>
        <w:spacing w:line="360" w:lineRule="auto"/>
        <w:ind w:firstLine="480"/>
        <w:rPr>
          <w:sz w:val="24"/>
        </w:rPr>
      </w:pPr>
      <w:r>
        <w:rPr>
          <w:rFonts w:hint="eastAsia"/>
          <w:sz w:val="24"/>
        </w:rPr>
        <w:t>1.投标人应将用于资格审查的业绩在上表中列明，按照列明</w:t>
      </w:r>
      <w:r>
        <w:rPr>
          <w:sz w:val="24"/>
        </w:rPr>
        <w:t>的</w:t>
      </w:r>
      <w:r>
        <w:rPr>
          <w:rFonts w:hint="eastAsia"/>
          <w:sz w:val="24"/>
        </w:rPr>
        <w:t>业绩序号先后</w:t>
      </w:r>
      <w:r>
        <w:rPr>
          <w:sz w:val="24"/>
        </w:rPr>
        <w:t>顺序</w:t>
      </w:r>
      <w:r>
        <w:rPr>
          <w:rFonts w:hint="eastAsia"/>
          <w:sz w:val="24"/>
        </w:rPr>
        <w:t>依次填写“项目经理近年完成的类似项目信息</w:t>
      </w:r>
      <w:r>
        <w:rPr>
          <w:sz w:val="24"/>
        </w:rPr>
        <w:t>表</w:t>
      </w:r>
      <w:r>
        <w:rPr>
          <w:rFonts w:hint="eastAsia"/>
          <w:sz w:val="24"/>
        </w:rPr>
        <w:t>（资格</w:t>
      </w:r>
      <w:r>
        <w:rPr>
          <w:sz w:val="24"/>
        </w:rPr>
        <w:t>审查</w:t>
      </w:r>
      <w:r>
        <w:rPr>
          <w:rFonts w:hint="eastAsia"/>
          <w:sz w:val="24"/>
        </w:rPr>
        <w:t>）”，并附相应业绩证明材料。</w:t>
      </w:r>
    </w:p>
    <w:p>
      <w:pPr>
        <w:spacing w:line="360" w:lineRule="auto"/>
        <w:ind w:firstLine="480"/>
        <w:rPr>
          <w:sz w:val="24"/>
        </w:rPr>
      </w:pPr>
      <w:r>
        <w:rPr>
          <w:rFonts w:hint="eastAsia"/>
          <w:sz w:val="24"/>
        </w:rPr>
        <w:t>2.评标</w:t>
      </w:r>
      <w:r>
        <w:rPr>
          <w:sz w:val="24"/>
        </w:rPr>
        <w:t>委员会应当按照上表</w:t>
      </w:r>
      <w:r>
        <w:rPr>
          <w:rFonts w:hint="eastAsia"/>
          <w:sz w:val="24"/>
        </w:rPr>
        <w:t>列明</w:t>
      </w:r>
      <w:r>
        <w:rPr>
          <w:sz w:val="24"/>
        </w:rPr>
        <w:t>的</w:t>
      </w:r>
      <w:r>
        <w:rPr>
          <w:rFonts w:hint="eastAsia"/>
          <w:sz w:val="24"/>
        </w:rPr>
        <w:t>业绩序号先后</w:t>
      </w:r>
      <w:r>
        <w:rPr>
          <w:sz w:val="24"/>
        </w:rPr>
        <w:t>顺序</w:t>
      </w:r>
      <w:r>
        <w:rPr>
          <w:rFonts w:hint="eastAsia"/>
          <w:sz w:val="24"/>
        </w:rPr>
        <w:t>依次</w:t>
      </w:r>
      <w:r>
        <w:rPr>
          <w:sz w:val="24"/>
        </w:rPr>
        <w:t>进行评审，</w:t>
      </w:r>
      <w:r>
        <w:rPr>
          <w:rFonts w:hint="eastAsia"/>
          <w:sz w:val="24"/>
        </w:rPr>
        <w:t>且仅评审“附录5 资格审查条件（项目经理和项目总工最低要求）”规定数量的业绩，超出规定数量部分或未在上表列明的业绩均不作为资格审查项目经理业绩予以评审。</w:t>
      </w:r>
    </w:p>
    <w:p>
      <w:pPr>
        <w:tabs>
          <w:tab w:val="left" w:pos="8422"/>
          <w:tab w:val="left" w:pos="9622"/>
        </w:tabs>
        <w:spacing w:line="360" w:lineRule="auto"/>
        <w:ind w:left="4200" w:leftChars="2000" w:right="105" w:rightChars="50" w:firstLine="480"/>
        <w:jc w:val="left"/>
        <w:rPr>
          <w:sz w:val="24"/>
        </w:rPr>
      </w:pPr>
    </w:p>
    <w:p>
      <w:pPr>
        <w:adjustRightInd w:val="0"/>
        <w:snapToGrid w:val="0"/>
        <w:spacing w:line="360" w:lineRule="auto"/>
        <w:ind w:firstLine="960"/>
        <w:jc w:val="right"/>
        <w:rPr>
          <w:bCs/>
          <w:sz w:val="24"/>
          <w:szCs w:val="21"/>
          <w:u w:val="single"/>
        </w:rPr>
      </w:pPr>
      <w:r>
        <w:rPr>
          <w:rFonts w:hint="eastAsia"/>
          <w:bCs/>
          <w:spacing w:val="120"/>
          <w:kern w:val="0"/>
          <w:sz w:val="24"/>
          <w:szCs w:val="21"/>
          <w:fitText w:val="1200" w:id="-1231310322"/>
        </w:rPr>
        <w:t>投标</w:t>
      </w:r>
      <w:r>
        <w:rPr>
          <w:rFonts w:hint="eastAsia"/>
          <w:bCs/>
          <w:spacing w:val="0"/>
          <w:kern w:val="0"/>
          <w:sz w:val="24"/>
          <w:szCs w:val="21"/>
          <w:fitText w:val="1200" w:id="-1231310322"/>
        </w:rPr>
        <w:t>人</w:t>
      </w:r>
      <w:r>
        <w:rPr>
          <w:rFonts w:hint="eastAsia"/>
          <w:bCs/>
          <w:sz w:val="24"/>
          <w:szCs w:val="21"/>
        </w:rPr>
        <w:t>：</w:t>
      </w:r>
      <w:r>
        <w:rPr>
          <w:rFonts w:hint="eastAsia"/>
          <w:bCs/>
          <w:sz w:val="24"/>
          <w:szCs w:val="21"/>
          <w:u w:val="single"/>
        </w:rPr>
        <w:t xml:space="preserve">            </w:t>
      </w:r>
      <w:r>
        <w:rPr>
          <w:rFonts w:hint="eastAsia"/>
          <w:bCs/>
          <w:sz w:val="24"/>
          <w:szCs w:val="21"/>
        </w:rPr>
        <w:t>（盖单位章）</w:t>
      </w:r>
    </w:p>
    <w:p>
      <w:pPr>
        <w:adjustRightInd w:val="0"/>
        <w:snapToGrid w:val="0"/>
        <w:spacing w:line="360" w:lineRule="auto"/>
        <w:ind w:firstLine="1920"/>
        <w:jc w:val="right"/>
        <w:rPr>
          <w:rFonts w:eastAsia="黑体"/>
          <w:sz w:val="28"/>
          <w:szCs w:val="28"/>
        </w:rPr>
      </w:pPr>
      <w:r>
        <w:rPr>
          <w:rFonts w:hint="eastAsia"/>
          <w:bCs/>
          <w:spacing w:val="360"/>
          <w:kern w:val="0"/>
          <w:sz w:val="24"/>
          <w:szCs w:val="21"/>
          <w:fitText w:val="1200" w:id="-1231310321"/>
        </w:rPr>
        <w:t>日</w:t>
      </w:r>
      <w:r>
        <w:rPr>
          <w:rFonts w:hint="eastAsia"/>
          <w:bCs/>
          <w:spacing w:val="0"/>
          <w:kern w:val="0"/>
          <w:sz w:val="24"/>
          <w:szCs w:val="21"/>
          <w:fitText w:val="1200" w:id="-1231310321"/>
        </w:rPr>
        <w:t>期</w:t>
      </w:r>
      <w:r>
        <w:rPr>
          <w:rFonts w:hint="eastAsia"/>
          <w:sz w:val="24"/>
          <w:szCs w:val="21"/>
        </w:rPr>
        <w:t>：</w:t>
      </w:r>
      <w:r>
        <w:rPr>
          <w:rFonts w:hint="eastAsia"/>
          <w:sz w:val="24"/>
          <w:szCs w:val="21"/>
          <w:u w:val="single"/>
        </w:rPr>
        <w:t xml:space="preserve">       </w:t>
      </w:r>
      <w:r>
        <w:rPr>
          <w:rFonts w:hint="eastAsia"/>
          <w:sz w:val="24"/>
          <w:szCs w:val="21"/>
        </w:rPr>
        <w:t>年</w:t>
      </w:r>
      <w:r>
        <w:rPr>
          <w:rFonts w:hint="eastAsia"/>
          <w:sz w:val="24"/>
          <w:szCs w:val="21"/>
          <w:u w:val="single"/>
        </w:rPr>
        <w:t xml:space="preserve">     </w:t>
      </w:r>
      <w:r>
        <w:rPr>
          <w:rFonts w:hint="eastAsia"/>
          <w:sz w:val="24"/>
          <w:szCs w:val="21"/>
        </w:rPr>
        <w:t>月</w:t>
      </w:r>
      <w:r>
        <w:rPr>
          <w:rFonts w:hint="eastAsia"/>
          <w:sz w:val="24"/>
          <w:szCs w:val="21"/>
          <w:u w:val="single"/>
        </w:rPr>
        <w:t xml:space="preserve">      </w:t>
      </w:r>
      <w:r>
        <w:rPr>
          <w:rFonts w:hint="eastAsia"/>
          <w:sz w:val="24"/>
          <w:szCs w:val="21"/>
        </w:rPr>
        <w:t>日</w:t>
      </w:r>
    </w:p>
    <w:p>
      <w:pPr>
        <w:spacing w:line="360" w:lineRule="auto"/>
        <w:ind w:firstLine="482"/>
        <w:jc w:val="center"/>
        <w:rPr>
          <w:rFonts w:ascii="黑体" w:hAnsi="黑体" w:eastAsia="黑体" w:cs="黑体"/>
          <w:bCs/>
          <w:sz w:val="24"/>
        </w:rPr>
      </w:pPr>
      <w:r>
        <w:rPr>
          <w:b/>
          <w:sz w:val="24"/>
        </w:rPr>
        <w:br w:type="page"/>
      </w:r>
      <w:r>
        <w:rPr>
          <w:rFonts w:hint="eastAsia" w:ascii="黑体" w:hAnsi="黑体" w:eastAsia="黑体" w:cs="黑体"/>
          <w:bCs/>
          <w:sz w:val="24"/>
        </w:rPr>
        <w:t>项目经理</w:t>
      </w:r>
      <w:r>
        <w:rPr>
          <w:rFonts w:hint="eastAsia" w:ascii="黑体" w:hAnsi="黑体" w:eastAsia="黑体" w:cs="黑体"/>
          <w:bCs/>
          <w:kern w:val="0"/>
          <w:sz w:val="24"/>
        </w:rPr>
        <w:t>近年完成的类似项目</w:t>
      </w:r>
      <w:r>
        <w:rPr>
          <w:rFonts w:hint="eastAsia" w:ascii="黑体" w:hAnsi="黑体" w:eastAsia="黑体" w:cs="黑体"/>
          <w:bCs/>
          <w:sz w:val="24"/>
        </w:rPr>
        <w:t>信息表（资格审查）</w:t>
      </w:r>
    </w:p>
    <w:tbl>
      <w:tblPr>
        <w:tblStyle w:val="5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项目名称</w:t>
            </w:r>
          </w:p>
          <w:p>
            <w:pPr>
              <w:autoSpaceDE w:val="0"/>
              <w:autoSpaceDN w:val="0"/>
              <w:adjustRightInd w:val="0"/>
              <w:spacing w:line="300" w:lineRule="exact"/>
              <w:ind w:firstLine="480"/>
              <w:jc w:val="center"/>
              <w:rPr>
                <w:rFonts w:cs="宋体"/>
                <w:sz w:val="24"/>
                <w:szCs w:val="21"/>
              </w:rPr>
            </w:pPr>
            <w:r>
              <w:rPr>
                <w:rFonts w:hint="eastAsia" w:cs="宋体"/>
                <w:sz w:val="24"/>
                <w:szCs w:val="21"/>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left="360" w:firstLine="480"/>
              <w:jc w:val="center"/>
              <w:rPr>
                <w:rFonts w:cs="宋体"/>
                <w:sz w:val="24"/>
                <w:szCs w:val="21"/>
              </w:rPr>
            </w:pPr>
            <w:r>
              <w:rPr>
                <w:rFonts w:hint="eastAsia"/>
                <w:sz w:val="24"/>
                <w:szCs w:val="22"/>
              </w:rPr>
              <w:t>资格审查用业绩</w:t>
            </w:r>
          </w:p>
        </w:tc>
      </w:tr>
    </w:tbl>
    <w:p>
      <w:pPr>
        <w:autoSpaceDE w:val="0"/>
        <w:autoSpaceDN w:val="0"/>
        <w:adjustRightInd w:val="0"/>
        <w:spacing w:line="360" w:lineRule="auto"/>
        <w:ind w:firstLine="439" w:firstLineChars="183"/>
        <w:jc w:val="left"/>
        <w:rPr>
          <w:kern w:val="0"/>
          <w:sz w:val="24"/>
        </w:rPr>
      </w:pPr>
      <w:r>
        <w:rPr>
          <w:rFonts w:hint="eastAsia" w:cs="宋体"/>
          <w:sz w:val="24"/>
          <w:szCs w:val="21"/>
        </w:rPr>
        <w:t>注：</w:t>
      </w:r>
      <w:r>
        <w:rPr>
          <w:kern w:val="0"/>
          <w:sz w:val="24"/>
        </w:rPr>
        <w:t>投标人应根据招标文件第二章</w:t>
      </w:r>
      <w:r>
        <w:rPr>
          <w:rFonts w:hint="eastAsia" w:ascii="宋体" w:hAnsi="宋体" w:cs="宋体"/>
          <w:kern w:val="0"/>
          <w:sz w:val="24"/>
        </w:rPr>
        <w:t>“投标人须知”</w:t>
      </w:r>
      <w:r>
        <w:rPr>
          <w:kern w:val="0"/>
          <w:sz w:val="24"/>
        </w:rPr>
        <w:t>第3.5.5项的要求在本表后附相关证明材料。</w:t>
      </w:r>
    </w:p>
    <w:p>
      <w:pPr>
        <w:autoSpaceDE w:val="0"/>
        <w:autoSpaceDN w:val="0"/>
        <w:adjustRightInd w:val="0"/>
        <w:spacing w:line="360" w:lineRule="auto"/>
        <w:ind w:firstLine="480"/>
        <w:jc w:val="left"/>
        <w:rPr>
          <w:rFonts w:cs="宋体"/>
          <w:sz w:val="24"/>
          <w:szCs w:val="21"/>
        </w:rPr>
      </w:pPr>
    </w:p>
    <w:p>
      <w:pPr>
        <w:spacing w:line="360" w:lineRule="auto"/>
        <w:ind w:firstLine="0" w:firstLineChars="0"/>
        <w:jc w:val="left"/>
        <w:rPr>
          <w:b/>
          <w:kern w:val="0"/>
          <w:sz w:val="24"/>
        </w:rPr>
      </w:pPr>
      <w:r>
        <w:rPr>
          <w:b/>
          <w:kern w:val="0"/>
          <w:sz w:val="24"/>
        </w:rPr>
        <w:br w:type="page"/>
      </w:r>
    </w:p>
    <w:p>
      <w:pPr>
        <w:numPr>
          <w:ilvl w:val="255"/>
          <w:numId w:val="0"/>
        </w:numPr>
        <w:spacing w:beforeLines="100" w:afterLines="100" w:line="360" w:lineRule="auto"/>
        <w:jc w:val="center"/>
        <w:rPr>
          <w:rFonts w:eastAsia="黑体"/>
          <w:bCs/>
          <w:sz w:val="24"/>
        </w:rPr>
      </w:pPr>
      <w:r>
        <w:rPr>
          <w:rFonts w:eastAsia="黑体"/>
          <w:bCs/>
          <w:sz w:val="24"/>
        </w:rPr>
        <w:t>2.项目总工</w:t>
      </w:r>
      <w:r>
        <w:rPr>
          <w:rFonts w:eastAsia="黑体"/>
          <w:bCs/>
          <w:kern w:val="0"/>
          <w:sz w:val="24"/>
        </w:rPr>
        <w:t>近年完成的类似项目</w:t>
      </w:r>
      <w:r>
        <w:rPr>
          <w:rFonts w:eastAsia="黑体"/>
          <w:bCs/>
          <w:sz w:val="24"/>
        </w:rPr>
        <w:t>情况表（资格审查）</w:t>
      </w:r>
    </w:p>
    <w:tbl>
      <w:tblPr>
        <w:tblStyle w:val="5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1"/>
        <w:gridCol w:w="4984"/>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0" w:firstLineChars="0"/>
              <w:rPr>
                <w:b/>
                <w:sz w:val="24"/>
              </w:rPr>
            </w:pPr>
            <w:r>
              <w:rPr>
                <w:rFonts w:hint="eastAsia"/>
                <w:b/>
                <w:sz w:val="24"/>
              </w:rPr>
              <w:t>业绩序号</w:t>
            </w:r>
          </w:p>
        </w:tc>
        <w:tc>
          <w:tcPr>
            <w:tcW w:w="2926" w:type="pct"/>
            <w:noWrap/>
            <w:vAlign w:val="center"/>
          </w:tcPr>
          <w:p>
            <w:pPr>
              <w:spacing w:line="360" w:lineRule="auto"/>
              <w:ind w:firstLine="482"/>
              <w:jc w:val="center"/>
              <w:rPr>
                <w:b/>
                <w:sz w:val="24"/>
              </w:rPr>
            </w:pPr>
            <w:r>
              <w:rPr>
                <w:rFonts w:hint="eastAsia"/>
                <w:b/>
                <w:sz w:val="24"/>
              </w:rPr>
              <w:t>项目</w:t>
            </w:r>
            <w:r>
              <w:rPr>
                <w:b/>
                <w:sz w:val="24"/>
              </w:rPr>
              <w:t>名称</w:t>
            </w:r>
            <w:r>
              <w:rPr>
                <w:rFonts w:hint="eastAsia"/>
                <w:b/>
                <w:sz w:val="24"/>
              </w:rPr>
              <w:t>（合同名称）</w:t>
            </w:r>
          </w:p>
        </w:tc>
        <w:tc>
          <w:tcPr>
            <w:tcW w:w="1250" w:type="pct"/>
            <w:noWrap/>
            <w:vAlign w:val="center"/>
          </w:tcPr>
          <w:p>
            <w:pPr>
              <w:spacing w:line="360" w:lineRule="auto"/>
              <w:ind w:firstLine="482"/>
              <w:jc w:val="center"/>
              <w:rPr>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jc w:val="center"/>
              <w:rPr>
                <w:sz w:val="24"/>
              </w:rPr>
            </w:pPr>
            <w:r>
              <w:rPr>
                <w:rFonts w:hint="eastAsia"/>
                <w:sz w:val="24"/>
              </w:rPr>
              <w:t>1</w:t>
            </w:r>
          </w:p>
        </w:tc>
        <w:tc>
          <w:tcPr>
            <w:tcW w:w="2926" w:type="pct"/>
            <w:noWrap/>
            <w:vAlign w:val="center"/>
          </w:tcPr>
          <w:p>
            <w:pPr>
              <w:spacing w:line="360" w:lineRule="auto"/>
              <w:ind w:firstLine="480"/>
              <w:jc w:val="center"/>
              <w:rPr>
                <w:sz w:val="24"/>
              </w:rPr>
            </w:pPr>
          </w:p>
        </w:tc>
        <w:tc>
          <w:tcPr>
            <w:tcW w:w="1250"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jc w:val="center"/>
              <w:rPr>
                <w:sz w:val="24"/>
              </w:rPr>
            </w:pPr>
            <w:r>
              <w:rPr>
                <w:rFonts w:hint="eastAsia"/>
                <w:sz w:val="24"/>
              </w:rPr>
              <w:t>2</w:t>
            </w:r>
          </w:p>
        </w:tc>
        <w:tc>
          <w:tcPr>
            <w:tcW w:w="2926" w:type="pct"/>
            <w:noWrap/>
            <w:vAlign w:val="center"/>
          </w:tcPr>
          <w:p>
            <w:pPr>
              <w:spacing w:line="360" w:lineRule="auto"/>
              <w:ind w:firstLine="480"/>
              <w:jc w:val="center"/>
              <w:rPr>
                <w:sz w:val="24"/>
              </w:rPr>
            </w:pPr>
          </w:p>
        </w:tc>
        <w:tc>
          <w:tcPr>
            <w:tcW w:w="1250"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jc w:val="center"/>
              <w:rPr>
                <w:sz w:val="24"/>
              </w:rPr>
            </w:pPr>
            <w:r>
              <w:rPr>
                <w:rFonts w:hint="eastAsia"/>
                <w:sz w:val="24"/>
              </w:rPr>
              <w:t>……</w:t>
            </w:r>
          </w:p>
        </w:tc>
        <w:tc>
          <w:tcPr>
            <w:tcW w:w="2926" w:type="pct"/>
            <w:noWrap/>
            <w:vAlign w:val="center"/>
          </w:tcPr>
          <w:p>
            <w:pPr>
              <w:spacing w:line="360" w:lineRule="auto"/>
              <w:ind w:firstLine="480"/>
              <w:jc w:val="center"/>
              <w:rPr>
                <w:sz w:val="24"/>
              </w:rPr>
            </w:pPr>
          </w:p>
        </w:tc>
        <w:tc>
          <w:tcPr>
            <w:tcW w:w="1250" w:type="pct"/>
            <w:noWrap/>
            <w:vAlign w:val="center"/>
          </w:tcPr>
          <w:p>
            <w:pPr>
              <w:spacing w:line="360" w:lineRule="auto"/>
              <w:ind w:firstLine="480"/>
              <w:jc w:val="center"/>
              <w:rPr>
                <w:sz w:val="24"/>
              </w:rPr>
            </w:pPr>
          </w:p>
        </w:tc>
      </w:tr>
    </w:tbl>
    <w:p>
      <w:pPr>
        <w:spacing w:line="360" w:lineRule="auto"/>
        <w:ind w:firstLine="480"/>
        <w:rPr>
          <w:sz w:val="24"/>
        </w:rPr>
      </w:pPr>
      <w:r>
        <w:rPr>
          <w:rFonts w:hint="eastAsia"/>
          <w:sz w:val="24"/>
        </w:rPr>
        <w:t>注：</w:t>
      </w:r>
    </w:p>
    <w:p>
      <w:pPr>
        <w:spacing w:line="360" w:lineRule="auto"/>
        <w:ind w:firstLine="480"/>
        <w:rPr>
          <w:sz w:val="24"/>
        </w:rPr>
      </w:pPr>
      <w:r>
        <w:rPr>
          <w:rFonts w:hint="eastAsia"/>
          <w:sz w:val="24"/>
        </w:rPr>
        <w:t>1.投标人应将用于资格审查的业绩在上表中列明，按照列明</w:t>
      </w:r>
      <w:r>
        <w:rPr>
          <w:sz w:val="24"/>
        </w:rPr>
        <w:t>的</w:t>
      </w:r>
      <w:r>
        <w:rPr>
          <w:rFonts w:hint="eastAsia"/>
          <w:sz w:val="24"/>
        </w:rPr>
        <w:t>业绩序号先后</w:t>
      </w:r>
      <w:r>
        <w:rPr>
          <w:sz w:val="24"/>
        </w:rPr>
        <w:t>顺序</w:t>
      </w:r>
      <w:r>
        <w:rPr>
          <w:rFonts w:hint="eastAsia"/>
          <w:sz w:val="24"/>
        </w:rPr>
        <w:t>依次填写“项目总工近年完成的类似项目信息表（资格审查）”，并附相应业绩证明材料。</w:t>
      </w:r>
    </w:p>
    <w:p>
      <w:pPr>
        <w:spacing w:line="360" w:lineRule="auto"/>
        <w:ind w:firstLine="480"/>
        <w:rPr>
          <w:sz w:val="24"/>
        </w:rPr>
      </w:pPr>
      <w:r>
        <w:rPr>
          <w:rFonts w:hint="eastAsia"/>
          <w:sz w:val="24"/>
        </w:rPr>
        <w:t>2.评标</w:t>
      </w:r>
      <w:r>
        <w:rPr>
          <w:sz w:val="24"/>
        </w:rPr>
        <w:t>委员会应当按照上表</w:t>
      </w:r>
      <w:r>
        <w:rPr>
          <w:rFonts w:hint="eastAsia"/>
          <w:sz w:val="24"/>
        </w:rPr>
        <w:t>列明</w:t>
      </w:r>
      <w:r>
        <w:rPr>
          <w:sz w:val="24"/>
        </w:rPr>
        <w:t>的</w:t>
      </w:r>
      <w:r>
        <w:rPr>
          <w:rFonts w:hint="eastAsia"/>
          <w:sz w:val="24"/>
        </w:rPr>
        <w:t>业绩序号先后</w:t>
      </w:r>
      <w:r>
        <w:rPr>
          <w:sz w:val="24"/>
        </w:rPr>
        <w:t>顺序</w:t>
      </w:r>
      <w:r>
        <w:rPr>
          <w:rFonts w:hint="eastAsia"/>
          <w:sz w:val="24"/>
        </w:rPr>
        <w:t>依次</w:t>
      </w:r>
      <w:r>
        <w:rPr>
          <w:sz w:val="24"/>
        </w:rPr>
        <w:t>进行评审，</w:t>
      </w:r>
      <w:r>
        <w:rPr>
          <w:rFonts w:hint="eastAsia"/>
          <w:sz w:val="24"/>
        </w:rPr>
        <w:t>且仅评审“附录5 资格审查条件（项目经理和项目总工最低要求）”规定数量的业绩，超出规定数量部分或未在上表列明的业绩均不作为资格审查项目总工业绩予以评审。</w:t>
      </w:r>
    </w:p>
    <w:p>
      <w:pPr>
        <w:tabs>
          <w:tab w:val="left" w:pos="8422"/>
          <w:tab w:val="left" w:pos="9622"/>
        </w:tabs>
        <w:spacing w:line="360" w:lineRule="auto"/>
        <w:ind w:left="4200" w:leftChars="2000" w:right="105" w:rightChars="50" w:firstLine="480"/>
        <w:jc w:val="left"/>
        <w:rPr>
          <w:sz w:val="24"/>
        </w:rPr>
      </w:pPr>
    </w:p>
    <w:p>
      <w:pPr>
        <w:adjustRightInd w:val="0"/>
        <w:snapToGrid w:val="0"/>
        <w:spacing w:line="360" w:lineRule="auto"/>
        <w:ind w:firstLine="960"/>
        <w:jc w:val="right"/>
        <w:rPr>
          <w:bCs/>
          <w:sz w:val="24"/>
          <w:szCs w:val="21"/>
          <w:u w:val="single"/>
        </w:rPr>
      </w:pPr>
      <w:r>
        <w:rPr>
          <w:rFonts w:hint="eastAsia"/>
          <w:bCs/>
          <w:spacing w:val="120"/>
          <w:kern w:val="0"/>
          <w:sz w:val="24"/>
          <w:szCs w:val="21"/>
          <w:fitText w:val="1200" w:id="-1231310320"/>
        </w:rPr>
        <w:t>投标</w:t>
      </w:r>
      <w:r>
        <w:rPr>
          <w:rFonts w:hint="eastAsia"/>
          <w:bCs/>
          <w:spacing w:val="0"/>
          <w:kern w:val="0"/>
          <w:sz w:val="24"/>
          <w:szCs w:val="21"/>
          <w:fitText w:val="1200" w:id="-1231310320"/>
        </w:rPr>
        <w:t>人</w:t>
      </w:r>
      <w:r>
        <w:rPr>
          <w:rFonts w:hint="eastAsia"/>
          <w:bCs/>
          <w:sz w:val="24"/>
          <w:szCs w:val="21"/>
        </w:rPr>
        <w:t>：</w:t>
      </w:r>
      <w:r>
        <w:rPr>
          <w:rFonts w:hint="eastAsia"/>
          <w:bCs/>
          <w:sz w:val="24"/>
          <w:szCs w:val="21"/>
          <w:u w:val="single"/>
        </w:rPr>
        <w:t xml:space="preserve">            </w:t>
      </w:r>
      <w:r>
        <w:rPr>
          <w:rFonts w:hint="eastAsia"/>
          <w:bCs/>
          <w:sz w:val="24"/>
          <w:szCs w:val="21"/>
        </w:rPr>
        <w:t>（盖单位章）</w:t>
      </w:r>
    </w:p>
    <w:p>
      <w:pPr>
        <w:adjustRightInd w:val="0"/>
        <w:snapToGrid w:val="0"/>
        <w:spacing w:line="360" w:lineRule="auto"/>
        <w:ind w:firstLine="1920"/>
        <w:jc w:val="right"/>
        <w:rPr>
          <w:rFonts w:eastAsia="黑体"/>
          <w:sz w:val="28"/>
          <w:szCs w:val="28"/>
        </w:rPr>
      </w:pPr>
      <w:r>
        <w:rPr>
          <w:rFonts w:hint="eastAsia"/>
          <w:bCs/>
          <w:spacing w:val="360"/>
          <w:kern w:val="0"/>
          <w:sz w:val="24"/>
          <w:szCs w:val="21"/>
          <w:fitText w:val="1200" w:id="-1231310336"/>
        </w:rPr>
        <w:t>日</w:t>
      </w:r>
      <w:r>
        <w:rPr>
          <w:rFonts w:hint="eastAsia"/>
          <w:bCs/>
          <w:spacing w:val="0"/>
          <w:kern w:val="0"/>
          <w:sz w:val="24"/>
          <w:szCs w:val="21"/>
          <w:fitText w:val="1200" w:id="-1231310336"/>
        </w:rPr>
        <w:t>期</w:t>
      </w:r>
      <w:r>
        <w:rPr>
          <w:rFonts w:hint="eastAsia"/>
          <w:sz w:val="24"/>
          <w:szCs w:val="21"/>
        </w:rPr>
        <w:t>：</w:t>
      </w:r>
      <w:r>
        <w:rPr>
          <w:rFonts w:hint="eastAsia"/>
          <w:sz w:val="24"/>
          <w:szCs w:val="21"/>
          <w:u w:val="single"/>
        </w:rPr>
        <w:t xml:space="preserve">       </w:t>
      </w:r>
      <w:r>
        <w:rPr>
          <w:rFonts w:hint="eastAsia"/>
          <w:sz w:val="24"/>
          <w:szCs w:val="21"/>
        </w:rPr>
        <w:t>年</w:t>
      </w:r>
      <w:r>
        <w:rPr>
          <w:rFonts w:hint="eastAsia"/>
          <w:sz w:val="24"/>
          <w:szCs w:val="21"/>
          <w:u w:val="single"/>
        </w:rPr>
        <w:t xml:space="preserve">     </w:t>
      </w:r>
      <w:r>
        <w:rPr>
          <w:rFonts w:hint="eastAsia"/>
          <w:sz w:val="24"/>
          <w:szCs w:val="21"/>
        </w:rPr>
        <w:t>月</w:t>
      </w:r>
      <w:r>
        <w:rPr>
          <w:rFonts w:hint="eastAsia"/>
          <w:sz w:val="24"/>
          <w:szCs w:val="21"/>
          <w:u w:val="single"/>
        </w:rPr>
        <w:t xml:space="preserve">      </w:t>
      </w:r>
      <w:r>
        <w:rPr>
          <w:rFonts w:hint="eastAsia"/>
          <w:sz w:val="24"/>
          <w:szCs w:val="21"/>
        </w:rPr>
        <w:t>日</w:t>
      </w:r>
    </w:p>
    <w:p>
      <w:pPr>
        <w:spacing w:line="360" w:lineRule="auto"/>
        <w:ind w:firstLine="482"/>
        <w:jc w:val="center"/>
        <w:rPr>
          <w:rFonts w:ascii="黑体" w:hAnsi="黑体" w:eastAsia="黑体" w:cs="黑体"/>
          <w:bCs/>
          <w:sz w:val="24"/>
        </w:rPr>
      </w:pPr>
      <w:r>
        <w:rPr>
          <w:b/>
          <w:sz w:val="24"/>
        </w:rPr>
        <w:br w:type="page"/>
      </w:r>
      <w:r>
        <w:rPr>
          <w:rFonts w:hint="eastAsia" w:ascii="黑体" w:hAnsi="黑体" w:eastAsia="黑体" w:cs="黑体"/>
          <w:bCs/>
          <w:sz w:val="24"/>
        </w:rPr>
        <w:t>项目总工</w:t>
      </w:r>
      <w:r>
        <w:rPr>
          <w:rFonts w:hint="eastAsia" w:ascii="黑体" w:hAnsi="黑体" w:eastAsia="黑体" w:cs="黑体"/>
          <w:bCs/>
          <w:kern w:val="0"/>
          <w:sz w:val="24"/>
        </w:rPr>
        <w:t>近年完成的类似项目</w:t>
      </w:r>
      <w:r>
        <w:rPr>
          <w:rFonts w:hint="eastAsia" w:ascii="黑体" w:hAnsi="黑体" w:eastAsia="黑体" w:cs="黑体"/>
          <w:bCs/>
          <w:sz w:val="24"/>
        </w:rPr>
        <w:t>信息表（资格审查）</w:t>
      </w:r>
    </w:p>
    <w:tbl>
      <w:tblPr>
        <w:tblStyle w:val="5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项目名称</w:t>
            </w:r>
          </w:p>
          <w:p>
            <w:pPr>
              <w:autoSpaceDE w:val="0"/>
              <w:autoSpaceDN w:val="0"/>
              <w:adjustRightInd w:val="0"/>
              <w:spacing w:line="300" w:lineRule="exact"/>
              <w:ind w:firstLine="480"/>
              <w:jc w:val="center"/>
              <w:rPr>
                <w:rFonts w:cs="宋体"/>
                <w:sz w:val="24"/>
                <w:szCs w:val="21"/>
              </w:rPr>
            </w:pPr>
            <w:r>
              <w:rPr>
                <w:rFonts w:hint="eastAsia" w:cs="宋体"/>
                <w:sz w:val="24"/>
                <w:szCs w:val="21"/>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left="360" w:firstLine="480"/>
              <w:jc w:val="center"/>
              <w:rPr>
                <w:rFonts w:cs="宋体"/>
                <w:sz w:val="24"/>
                <w:szCs w:val="21"/>
              </w:rPr>
            </w:pPr>
            <w:r>
              <w:rPr>
                <w:rFonts w:hint="eastAsia"/>
                <w:sz w:val="24"/>
                <w:szCs w:val="22"/>
              </w:rPr>
              <w:t>资格审查用业绩</w:t>
            </w:r>
          </w:p>
        </w:tc>
      </w:tr>
    </w:tbl>
    <w:p>
      <w:pPr>
        <w:keepNext/>
        <w:keepLines/>
        <w:widowControl/>
        <w:spacing w:before="120" w:after="120" w:line="360" w:lineRule="auto"/>
        <w:ind w:firstLine="0" w:firstLineChars="0"/>
        <w:jc w:val="center"/>
        <w:outlineLvl w:val="2"/>
        <w:rPr>
          <w:rFonts w:cs="宋体"/>
          <w:kern w:val="0"/>
          <w:szCs w:val="21"/>
        </w:rPr>
      </w:pPr>
      <w:bookmarkStart w:id="720" w:name="_Toc138689463"/>
      <w:r>
        <w:rPr>
          <w:rFonts w:hint="eastAsia" w:cs="宋体"/>
          <w:sz w:val="24"/>
          <w:szCs w:val="21"/>
        </w:rPr>
        <w:t>注：投标人应根据招标文件第二章“投标人须知”第3.5.5项的要求在本表后附相关证明材料。</w:t>
      </w:r>
      <w:bookmarkEnd w:id="720"/>
    </w:p>
    <w:p>
      <w:pPr>
        <w:widowControl/>
        <w:ind w:firstLine="0" w:firstLineChars="0"/>
        <w:jc w:val="left"/>
        <w:rPr>
          <w:b/>
          <w:bCs/>
          <w:szCs w:val="21"/>
        </w:rPr>
      </w:pPr>
    </w:p>
    <w:p>
      <w:pPr>
        <w:spacing w:beforeLines="100" w:afterLines="100"/>
        <w:ind w:firstLine="0" w:firstLineChars="0"/>
        <w:jc w:val="center"/>
        <w:outlineLvl w:val="3"/>
        <w:rPr>
          <w:rFonts w:ascii="黑体" w:hAnsi="黑体" w:eastAsia="黑体" w:cs="黑体"/>
          <w:bCs/>
          <w:kern w:val="0"/>
          <w:sz w:val="24"/>
        </w:rPr>
      </w:pPr>
      <w:r>
        <w:rPr>
          <w:b/>
          <w:bCs/>
          <w:szCs w:val="21"/>
        </w:rPr>
        <w:br w:type="page"/>
      </w:r>
      <w:bookmarkStart w:id="721" w:name="_Toc15211"/>
      <w:bookmarkStart w:id="722" w:name="_Toc26657097"/>
      <w:bookmarkStart w:id="723" w:name="_Toc14201419"/>
      <w:r>
        <w:rPr>
          <w:b/>
          <w:kern w:val="0"/>
          <w:sz w:val="24"/>
        </w:rPr>
        <w:t>（七）</w:t>
      </w:r>
      <w:r>
        <w:rPr>
          <w:rFonts w:hint="eastAsia" w:ascii="黑体" w:hAnsi="黑体" w:eastAsia="黑体" w:cs="黑体"/>
          <w:bCs/>
          <w:kern w:val="0"/>
          <w:sz w:val="24"/>
        </w:rPr>
        <w:t>项目经理、项目总工承诺书</w:t>
      </w:r>
      <w:bookmarkEnd w:id="721"/>
      <w:bookmarkEnd w:id="722"/>
      <w:bookmarkEnd w:id="723"/>
    </w:p>
    <w:p>
      <w:pPr>
        <w:spacing w:line="360" w:lineRule="auto"/>
        <w:ind w:firstLineChars="0"/>
        <w:jc w:val="center"/>
        <w:rPr>
          <w:rFonts w:ascii="黑体" w:hAnsi="黑体" w:eastAsia="黑体" w:cs="黑体"/>
          <w:bCs/>
          <w:sz w:val="24"/>
        </w:rPr>
      </w:pPr>
      <w:r>
        <w:rPr>
          <w:rFonts w:hint="eastAsia" w:ascii="黑体" w:hAnsi="黑体" w:eastAsia="黑体" w:cs="黑体"/>
          <w:bCs/>
          <w:sz w:val="24"/>
        </w:rPr>
        <w:t>项目经理承诺书</w:t>
      </w:r>
    </w:p>
    <w:p>
      <w:pPr>
        <w:spacing w:line="360" w:lineRule="auto"/>
        <w:ind w:firstLineChars="0"/>
        <w:rPr>
          <w:bCs/>
          <w:sz w:val="24"/>
        </w:rPr>
      </w:pPr>
      <w:r>
        <w:rPr>
          <w:bCs/>
          <w:sz w:val="24"/>
        </w:rPr>
        <w:t>致：</w:t>
      </w:r>
      <w:r>
        <w:rPr>
          <w:bCs/>
          <w:sz w:val="24"/>
          <w:u w:val="single"/>
        </w:rPr>
        <w:t xml:space="preserve">      </w:t>
      </w:r>
      <w:r>
        <w:rPr>
          <w:rFonts w:hint="eastAsia"/>
          <w:bCs/>
          <w:sz w:val="24"/>
          <w:u w:val="single"/>
        </w:rPr>
        <w:t>（</w:t>
      </w:r>
      <w:r>
        <w:rPr>
          <w:bCs/>
          <w:sz w:val="24"/>
        </w:rPr>
        <w:t>招标人名称</w:t>
      </w:r>
      <w:r>
        <w:rPr>
          <w:rFonts w:hint="eastAsia"/>
          <w:bCs/>
          <w:sz w:val="24"/>
        </w:rPr>
        <w:t>）</w:t>
      </w:r>
    </w:p>
    <w:p>
      <w:pPr>
        <w:spacing w:line="360" w:lineRule="auto"/>
        <w:ind w:firstLine="480"/>
        <w:rPr>
          <w:bCs/>
          <w:sz w:val="24"/>
        </w:rPr>
      </w:pPr>
      <w:r>
        <w:rPr>
          <w:bCs/>
          <w:sz w:val="24"/>
        </w:rPr>
        <w:t>本人作为项目经理，现郑重承诺如下：</w:t>
      </w:r>
    </w:p>
    <w:p>
      <w:pPr>
        <w:spacing w:line="360" w:lineRule="auto"/>
        <w:ind w:firstLine="480"/>
        <w:rPr>
          <w:bCs/>
          <w:sz w:val="24"/>
        </w:rPr>
      </w:pPr>
      <w:r>
        <w:rPr>
          <w:bCs/>
          <w:sz w:val="24"/>
        </w:rPr>
        <w:t>一、投标文件中提供的项目经理业绩已经本人核实，工程实施过程中项目经理确为本人，不存在弄虚作假行为。</w:t>
      </w:r>
    </w:p>
    <w:p>
      <w:pPr>
        <w:spacing w:line="360" w:lineRule="auto"/>
        <w:ind w:firstLine="480"/>
        <w:rPr>
          <w:bCs/>
          <w:sz w:val="24"/>
        </w:rPr>
      </w:pPr>
      <w:r>
        <w:rPr>
          <w:bCs/>
          <w:sz w:val="24"/>
        </w:rPr>
        <w:t>二、</w:t>
      </w:r>
      <w:r>
        <w:rPr>
          <w:rFonts w:hint="default"/>
          <w:bCs/>
          <w:sz w:val="24"/>
          <w:lang w:val="en-US" w:eastAsia="zh-CN"/>
        </w:rPr>
        <w:t>目前无在岗项目或虽在其他项目上</w:t>
      </w:r>
      <w:r>
        <w:rPr>
          <w:rFonts w:hint="eastAsia"/>
          <w:bCs/>
          <w:sz w:val="24"/>
          <w:lang w:val="en-US" w:eastAsia="zh-CN"/>
        </w:rPr>
        <w:t>任职</w:t>
      </w:r>
      <w:r>
        <w:rPr>
          <w:rFonts w:hint="default"/>
          <w:bCs/>
          <w:sz w:val="24"/>
          <w:lang w:val="en-US" w:eastAsia="zh-CN"/>
        </w:rPr>
        <w:t>，但承诺在</w:t>
      </w:r>
      <w:r>
        <w:rPr>
          <w:rFonts w:hint="eastAsia"/>
          <w:bCs/>
          <w:sz w:val="24"/>
          <w:lang w:val="en-US" w:eastAsia="zh-CN"/>
        </w:rPr>
        <w:t>本招标项目</w:t>
      </w:r>
      <w:r>
        <w:rPr>
          <w:rFonts w:hint="default"/>
          <w:bCs/>
          <w:sz w:val="24"/>
          <w:lang w:val="en-US" w:eastAsia="zh-CN"/>
        </w:rPr>
        <w:t>中标后合同签订前能够从</w:t>
      </w:r>
      <w:r>
        <w:rPr>
          <w:rFonts w:hint="eastAsia"/>
          <w:bCs/>
          <w:sz w:val="24"/>
          <w:lang w:val="en-US" w:eastAsia="zh-CN"/>
        </w:rPr>
        <w:t>其他项目中撤离</w:t>
      </w:r>
      <w:r>
        <w:rPr>
          <w:rFonts w:hint="default"/>
          <w:bCs/>
          <w:sz w:val="24"/>
          <w:lang w:val="en-US" w:eastAsia="zh-CN"/>
        </w:rPr>
        <w:t>至</w:t>
      </w:r>
      <w:r>
        <w:rPr>
          <w:rFonts w:hint="eastAsia"/>
          <w:bCs/>
          <w:sz w:val="24"/>
          <w:lang w:val="en-US" w:eastAsia="zh-CN"/>
        </w:rPr>
        <w:t>本招标项目</w:t>
      </w:r>
      <w:r>
        <w:rPr>
          <w:rFonts w:hint="default"/>
          <w:bCs/>
          <w:sz w:val="24"/>
          <w:lang w:val="en-US" w:eastAsia="zh-CN"/>
        </w:rPr>
        <w:t>并全面履约</w:t>
      </w:r>
      <w:r>
        <w:rPr>
          <w:bCs/>
          <w:sz w:val="24"/>
        </w:rPr>
        <w:t>。</w:t>
      </w:r>
    </w:p>
    <w:p>
      <w:pPr>
        <w:spacing w:line="360" w:lineRule="auto"/>
        <w:ind w:firstLine="480"/>
        <w:rPr>
          <w:bCs/>
          <w:sz w:val="24"/>
        </w:rPr>
      </w:pPr>
      <w:r>
        <w:rPr>
          <w:bCs/>
          <w:sz w:val="24"/>
        </w:rPr>
        <w:t>三、以上承诺如果发现虚假现象，本人愿意承担相应法律责任，并随时无条件配合贵方调查取证。</w:t>
      </w:r>
    </w:p>
    <w:p>
      <w:pPr>
        <w:spacing w:line="360" w:lineRule="auto"/>
        <w:ind w:left="359" w:leftChars="171" w:firstLine="720" w:firstLineChars="300"/>
        <w:rPr>
          <w:bCs/>
          <w:sz w:val="24"/>
        </w:rPr>
      </w:pPr>
    </w:p>
    <w:p>
      <w:pPr>
        <w:spacing w:line="360" w:lineRule="auto"/>
        <w:ind w:left="359" w:leftChars="171" w:firstLine="720" w:firstLineChars="300"/>
        <w:rPr>
          <w:bCs/>
          <w:sz w:val="24"/>
        </w:rPr>
      </w:pPr>
    </w:p>
    <w:p>
      <w:pPr>
        <w:spacing w:line="360" w:lineRule="auto"/>
        <w:ind w:left="359" w:leftChars="171" w:firstLine="720" w:firstLineChars="300"/>
        <w:rPr>
          <w:bCs/>
          <w:sz w:val="24"/>
        </w:rPr>
      </w:pPr>
      <w:r>
        <w:rPr>
          <w:bCs/>
          <w:sz w:val="24"/>
        </w:rPr>
        <w:t>项目经理：</w:t>
      </w:r>
      <w:r>
        <w:rPr>
          <w:bCs/>
          <w:sz w:val="24"/>
          <w:u w:val="single"/>
        </w:rPr>
        <w:t xml:space="preserve">             </w:t>
      </w:r>
      <w:r>
        <w:rPr>
          <w:bCs/>
          <w:sz w:val="24"/>
        </w:rPr>
        <w:t>（签字）</w:t>
      </w:r>
    </w:p>
    <w:p>
      <w:pPr>
        <w:spacing w:line="360" w:lineRule="auto"/>
        <w:ind w:left="359" w:leftChars="171" w:firstLine="720" w:firstLineChars="300"/>
        <w:rPr>
          <w:bCs/>
          <w:sz w:val="24"/>
        </w:rPr>
      </w:pPr>
      <w:r>
        <w:rPr>
          <w:bCs/>
          <w:sz w:val="24"/>
        </w:rPr>
        <w:t>身份证号：</w:t>
      </w:r>
      <w:r>
        <w:rPr>
          <w:bCs/>
          <w:sz w:val="24"/>
          <w:u w:val="single"/>
        </w:rPr>
        <w:t xml:space="preserve">                   </w:t>
      </w:r>
    </w:p>
    <w:p>
      <w:pPr>
        <w:spacing w:line="360" w:lineRule="auto"/>
        <w:ind w:left="359" w:leftChars="171" w:firstLine="720" w:firstLineChars="300"/>
        <w:rPr>
          <w:bCs/>
          <w:sz w:val="24"/>
        </w:rPr>
      </w:pPr>
      <w:r>
        <w:rPr>
          <w:bCs/>
          <w:sz w:val="24"/>
        </w:rPr>
        <w:t>日期：</w:t>
      </w:r>
      <w:r>
        <w:rPr>
          <w:bCs/>
          <w:sz w:val="24"/>
          <w:u w:val="single"/>
        </w:rPr>
        <w:t xml:space="preserve">      </w:t>
      </w:r>
      <w:r>
        <w:rPr>
          <w:bCs/>
          <w:sz w:val="24"/>
        </w:rPr>
        <w:t>年</w:t>
      </w:r>
      <w:r>
        <w:rPr>
          <w:bCs/>
          <w:sz w:val="24"/>
          <w:u w:val="single"/>
        </w:rPr>
        <w:t xml:space="preserve">      </w:t>
      </w:r>
      <w:r>
        <w:rPr>
          <w:bCs/>
          <w:sz w:val="24"/>
        </w:rPr>
        <w:t>月</w:t>
      </w:r>
      <w:r>
        <w:rPr>
          <w:bCs/>
          <w:sz w:val="24"/>
          <w:u w:val="single"/>
        </w:rPr>
        <w:t xml:space="preserve">      </w:t>
      </w:r>
      <w:r>
        <w:rPr>
          <w:bCs/>
          <w:sz w:val="24"/>
        </w:rPr>
        <w:t>日</w:t>
      </w:r>
    </w:p>
    <w:p>
      <w:pPr>
        <w:spacing w:line="360" w:lineRule="auto"/>
        <w:ind w:left="359" w:leftChars="171" w:firstLine="720" w:firstLineChars="300"/>
        <w:rPr>
          <w:bCs/>
          <w:sz w:val="24"/>
        </w:rPr>
      </w:pPr>
    </w:p>
    <w:p>
      <w:pPr>
        <w:widowControl/>
        <w:spacing w:line="360" w:lineRule="auto"/>
        <w:ind w:firstLine="0" w:firstLineChars="0"/>
        <w:rPr>
          <w:b/>
          <w:sz w:val="24"/>
        </w:rPr>
      </w:pPr>
      <w:r>
        <w:rPr>
          <w:b/>
          <w:sz w:val="24"/>
        </w:rPr>
        <w:t>本页后附项目经理身份证正反面扫描件</w:t>
      </w:r>
    </w:p>
    <w:p>
      <w:pPr>
        <w:widowControl/>
        <w:ind w:firstLine="0" w:firstLineChars="0"/>
        <w:jc w:val="left"/>
        <w:rPr>
          <w:rFonts w:ascii="宋体" w:hAnsi="宋体"/>
          <w:b/>
          <w:spacing w:val="-6"/>
          <w:sz w:val="24"/>
        </w:rPr>
      </w:pPr>
      <w:r>
        <w:rPr>
          <w:rFonts w:ascii="宋体" w:hAnsi="宋体"/>
          <w:b/>
          <w:spacing w:val="-6"/>
          <w:sz w:val="24"/>
        </w:rPr>
        <w:br w:type="page"/>
      </w:r>
    </w:p>
    <w:p>
      <w:pPr>
        <w:spacing w:line="360" w:lineRule="auto"/>
        <w:ind w:firstLineChars="0"/>
        <w:jc w:val="center"/>
        <w:rPr>
          <w:rFonts w:ascii="黑体" w:hAnsi="黑体" w:eastAsia="黑体" w:cs="黑体"/>
          <w:bCs/>
          <w:sz w:val="24"/>
        </w:rPr>
      </w:pPr>
      <w:r>
        <w:rPr>
          <w:rFonts w:hint="eastAsia" w:ascii="黑体" w:hAnsi="黑体" w:eastAsia="黑体" w:cs="黑体"/>
          <w:bCs/>
          <w:sz w:val="24"/>
        </w:rPr>
        <w:t>项目总工承诺书</w:t>
      </w:r>
    </w:p>
    <w:p>
      <w:pPr>
        <w:spacing w:line="360" w:lineRule="auto"/>
        <w:ind w:firstLineChars="0"/>
        <w:rPr>
          <w:bCs/>
          <w:sz w:val="24"/>
        </w:rPr>
      </w:pPr>
      <w:r>
        <w:rPr>
          <w:bCs/>
          <w:sz w:val="24"/>
        </w:rPr>
        <w:t>致：</w:t>
      </w:r>
      <w:r>
        <w:rPr>
          <w:bCs/>
          <w:sz w:val="24"/>
          <w:u w:val="single"/>
        </w:rPr>
        <w:t xml:space="preserve">      </w:t>
      </w:r>
      <w:r>
        <w:rPr>
          <w:bCs/>
          <w:sz w:val="24"/>
        </w:rPr>
        <w:t xml:space="preserve"> </w:t>
      </w:r>
      <w:r>
        <w:rPr>
          <w:rFonts w:hint="eastAsia"/>
          <w:bCs/>
          <w:sz w:val="24"/>
        </w:rPr>
        <w:t>（</w:t>
      </w:r>
      <w:r>
        <w:rPr>
          <w:bCs/>
          <w:sz w:val="24"/>
        </w:rPr>
        <w:t>招标人名称</w:t>
      </w:r>
      <w:r>
        <w:rPr>
          <w:rFonts w:hint="eastAsia"/>
          <w:bCs/>
          <w:sz w:val="24"/>
        </w:rPr>
        <w:t>）</w:t>
      </w:r>
    </w:p>
    <w:p>
      <w:pPr>
        <w:spacing w:line="360" w:lineRule="auto"/>
        <w:ind w:firstLine="480"/>
        <w:rPr>
          <w:bCs/>
          <w:sz w:val="24"/>
        </w:rPr>
      </w:pPr>
      <w:r>
        <w:rPr>
          <w:bCs/>
          <w:sz w:val="24"/>
        </w:rPr>
        <w:t>本人作为项目总工，现郑重承诺如下：</w:t>
      </w:r>
    </w:p>
    <w:p>
      <w:pPr>
        <w:spacing w:line="360" w:lineRule="auto"/>
        <w:ind w:firstLine="480"/>
        <w:rPr>
          <w:bCs/>
          <w:sz w:val="24"/>
        </w:rPr>
      </w:pPr>
      <w:r>
        <w:rPr>
          <w:bCs/>
          <w:sz w:val="24"/>
        </w:rPr>
        <w:t>一、</w:t>
      </w:r>
      <w:r>
        <w:rPr>
          <w:rFonts w:hint="default"/>
          <w:bCs/>
          <w:sz w:val="24"/>
        </w:rPr>
        <w:t>投标文件中提供的项目总工</w:t>
      </w:r>
      <w:r>
        <w:rPr>
          <w:rFonts w:hint="eastAsia"/>
          <w:bCs/>
          <w:sz w:val="24"/>
          <w:lang w:val="en-US" w:eastAsia="zh-CN"/>
        </w:rPr>
        <w:t>业绩</w:t>
      </w:r>
      <w:r>
        <w:rPr>
          <w:rFonts w:hint="default"/>
          <w:bCs/>
          <w:sz w:val="24"/>
        </w:rPr>
        <w:t>已经本人核实，工程实施过程中项目总工确为本人，不存在弄虚作假行为</w:t>
      </w:r>
      <w:r>
        <w:rPr>
          <w:bCs/>
          <w:sz w:val="24"/>
        </w:rPr>
        <w:t>。</w:t>
      </w:r>
    </w:p>
    <w:p>
      <w:pPr>
        <w:spacing w:line="360" w:lineRule="auto"/>
        <w:ind w:firstLine="480"/>
        <w:rPr>
          <w:bCs/>
          <w:sz w:val="24"/>
        </w:rPr>
      </w:pPr>
      <w:r>
        <w:rPr>
          <w:bCs/>
          <w:sz w:val="24"/>
        </w:rPr>
        <w:t>二、</w:t>
      </w:r>
      <w:r>
        <w:rPr>
          <w:rFonts w:hint="default"/>
          <w:bCs/>
          <w:sz w:val="24"/>
          <w:lang w:val="en-US" w:eastAsia="zh-CN"/>
        </w:rPr>
        <w:t>目前无在岗项目或虽在其他项目上</w:t>
      </w:r>
      <w:r>
        <w:rPr>
          <w:rFonts w:hint="eastAsia"/>
          <w:bCs/>
          <w:sz w:val="24"/>
          <w:lang w:val="en-US" w:eastAsia="zh-CN"/>
        </w:rPr>
        <w:t>任职</w:t>
      </w:r>
      <w:r>
        <w:rPr>
          <w:rFonts w:hint="default"/>
          <w:bCs/>
          <w:sz w:val="24"/>
          <w:lang w:val="en-US" w:eastAsia="zh-CN"/>
        </w:rPr>
        <w:t>，但承诺在</w:t>
      </w:r>
      <w:r>
        <w:rPr>
          <w:rFonts w:hint="eastAsia"/>
          <w:bCs/>
          <w:sz w:val="24"/>
          <w:lang w:val="en-US" w:eastAsia="zh-CN"/>
        </w:rPr>
        <w:t>本招标项目</w:t>
      </w:r>
      <w:r>
        <w:rPr>
          <w:rFonts w:hint="default"/>
          <w:bCs/>
          <w:sz w:val="24"/>
          <w:lang w:val="en-US" w:eastAsia="zh-CN"/>
        </w:rPr>
        <w:t>中标后合同签订前能够从</w:t>
      </w:r>
      <w:r>
        <w:rPr>
          <w:rFonts w:hint="eastAsia"/>
          <w:bCs/>
          <w:sz w:val="24"/>
          <w:lang w:val="en-US" w:eastAsia="zh-CN"/>
        </w:rPr>
        <w:t>其他项目中撤离</w:t>
      </w:r>
      <w:r>
        <w:rPr>
          <w:rFonts w:hint="default"/>
          <w:bCs/>
          <w:sz w:val="24"/>
          <w:lang w:val="en-US" w:eastAsia="zh-CN"/>
        </w:rPr>
        <w:t>至</w:t>
      </w:r>
      <w:r>
        <w:rPr>
          <w:rFonts w:hint="eastAsia"/>
          <w:bCs/>
          <w:sz w:val="24"/>
          <w:lang w:val="en-US" w:eastAsia="zh-CN"/>
        </w:rPr>
        <w:t>本招标项目</w:t>
      </w:r>
      <w:r>
        <w:rPr>
          <w:rFonts w:hint="default"/>
          <w:bCs/>
          <w:sz w:val="24"/>
          <w:lang w:val="en-US" w:eastAsia="zh-CN"/>
        </w:rPr>
        <w:t>并全面履约</w:t>
      </w:r>
      <w:r>
        <w:rPr>
          <w:bCs/>
          <w:sz w:val="24"/>
        </w:rPr>
        <w:t>。</w:t>
      </w:r>
    </w:p>
    <w:p>
      <w:pPr>
        <w:spacing w:line="360" w:lineRule="auto"/>
        <w:ind w:firstLine="480"/>
        <w:rPr>
          <w:bCs/>
          <w:sz w:val="24"/>
        </w:rPr>
      </w:pPr>
      <w:r>
        <w:rPr>
          <w:bCs/>
          <w:sz w:val="24"/>
        </w:rPr>
        <w:t>三、以上承诺如果发现虚假现象，本人愿意承担相应法律责任，并随时无条件配合贵方调查取证。</w:t>
      </w:r>
    </w:p>
    <w:p>
      <w:pPr>
        <w:spacing w:line="360" w:lineRule="auto"/>
        <w:ind w:left="359" w:leftChars="171" w:firstLine="720" w:firstLineChars="300"/>
        <w:rPr>
          <w:bCs/>
          <w:sz w:val="24"/>
        </w:rPr>
      </w:pPr>
    </w:p>
    <w:p>
      <w:pPr>
        <w:spacing w:line="360" w:lineRule="auto"/>
        <w:ind w:left="359" w:leftChars="171" w:firstLine="720" w:firstLineChars="300"/>
        <w:rPr>
          <w:bCs/>
          <w:sz w:val="24"/>
        </w:rPr>
      </w:pPr>
    </w:p>
    <w:p>
      <w:pPr>
        <w:spacing w:line="360" w:lineRule="auto"/>
        <w:ind w:left="359" w:leftChars="171" w:firstLine="720" w:firstLineChars="300"/>
        <w:rPr>
          <w:bCs/>
          <w:sz w:val="24"/>
        </w:rPr>
      </w:pPr>
      <w:r>
        <w:rPr>
          <w:bCs/>
          <w:sz w:val="24"/>
        </w:rPr>
        <w:t>项目总工：</w:t>
      </w:r>
      <w:r>
        <w:rPr>
          <w:bCs/>
          <w:sz w:val="24"/>
          <w:u w:val="single"/>
        </w:rPr>
        <w:t xml:space="preserve">             </w:t>
      </w:r>
      <w:r>
        <w:rPr>
          <w:bCs/>
          <w:sz w:val="24"/>
        </w:rPr>
        <w:t>（签字）</w:t>
      </w:r>
    </w:p>
    <w:p>
      <w:pPr>
        <w:spacing w:line="360" w:lineRule="auto"/>
        <w:ind w:left="359" w:leftChars="171" w:firstLine="720" w:firstLineChars="300"/>
        <w:rPr>
          <w:bCs/>
          <w:sz w:val="24"/>
        </w:rPr>
      </w:pPr>
      <w:r>
        <w:rPr>
          <w:bCs/>
          <w:sz w:val="24"/>
        </w:rPr>
        <w:t>身份证号：</w:t>
      </w:r>
      <w:r>
        <w:rPr>
          <w:bCs/>
          <w:sz w:val="24"/>
          <w:u w:val="single"/>
        </w:rPr>
        <w:t xml:space="preserve">                   </w:t>
      </w:r>
    </w:p>
    <w:p>
      <w:pPr>
        <w:spacing w:line="360" w:lineRule="auto"/>
        <w:ind w:left="359" w:leftChars="171" w:firstLine="720" w:firstLineChars="300"/>
        <w:rPr>
          <w:bCs/>
          <w:sz w:val="24"/>
        </w:rPr>
      </w:pPr>
      <w:r>
        <w:rPr>
          <w:bCs/>
          <w:sz w:val="24"/>
        </w:rPr>
        <w:t>日期：</w:t>
      </w:r>
      <w:r>
        <w:rPr>
          <w:bCs/>
          <w:sz w:val="24"/>
          <w:u w:val="single"/>
        </w:rPr>
        <w:t xml:space="preserve">      </w:t>
      </w:r>
      <w:r>
        <w:rPr>
          <w:bCs/>
          <w:sz w:val="24"/>
        </w:rPr>
        <w:t>年</w:t>
      </w:r>
      <w:r>
        <w:rPr>
          <w:bCs/>
          <w:sz w:val="24"/>
          <w:u w:val="single"/>
        </w:rPr>
        <w:t xml:space="preserve">      </w:t>
      </w:r>
      <w:r>
        <w:rPr>
          <w:bCs/>
          <w:sz w:val="24"/>
        </w:rPr>
        <w:t>月</w:t>
      </w:r>
      <w:r>
        <w:rPr>
          <w:bCs/>
          <w:sz w:val="24"/>
          <w:u w:val="single"/>
        </w:rPr>
        <w:t xml:space="preserve">      </w:t>
      </w:r>
      <w:r>
        <w:rPr>
          <w:bCs/>
          <w:sz w:val="24"/>
        </w:rPr>
        <w:t>日</w:t>
      </w:r>
    </w:p>
    <w:p>
      <w:pPr>
        <w:spacing w:line="360" w:lineRule="auto"/>
        <w:ind w:left="359" w:leftChars="171" w:firstLine="720" w:firstLineChars="300"/>
        <w:rPr>
          <w:bCs/>
          <w:sz w:val="24"/>
        </w:rPr>
      </w:pPr>
    </w:p>
    <w:p>
      <w:pPr>
        <w:spacing w:line="440" w:lineRule="exact"/>
        <w:ind w:firstLine="482"/>
        <w:rPr>
          <w:b/>
          <w:sz w:val="24"/>
        </w:rPr>
      </w:pPr>
      <w:r>
        <w:rPr>
          <w:b/>
          <w:sz w:val="24"/>
        </w:rPr>
        <w:t>本页后附项目总工身份证正反面扫描件</w:t>
      </w:r>
    </w:p>
    <w:p>
      <w:pPr>
        <w:widowControl/>
        <w:ind w:firstLine="0" w:firstLineChars="0"/>
        <w:jc w:val="left"/>
        <w:rPr>
          <w:b/>
          <w:sz w:val="24"/>
        </w:rPr>
      </w:pPr>
      <w:r>
        <w:rPr>
          <w:b/>
          <w:sz w:val="24"/>
        </w:rPr>
        <w:br w:type="page"/>
      </w:r>
    </w:p>
    <w:p>
      <w:pPr>
        <w:widowControl/>
        <w:spacing w:beforeLines="100" w:afterLines="100"/>
        <w:ind w:firstLine="0" w:firstLineChars="0"/>
        <w:jc w:val="center"/>
        <w:outlineLvl w:val="3"/>
        <w:rPr>
          <w:bCs/>
          <w:sz w:val="24"/>
        </w:rPr>
      </w:pPr>
      <w:bookmarkStart w:id="724" w:name="_Toc501257506"/>
      <w:bookmarkStart w:id="725" w:name="_Toc26657098"/>
      <w:bookmarkStart w:id="726" w:name="_Toc234833286"/>
      <w:bookmarkStart w:id="727" w:name="_Toc14885"/>
      <w:bookmarkStart w:id="728" w:name="_Toc36562891"/>
      <w:bookmarkStart w:id="729" w:name="_Toc14201420"/>
      <w:bookmarkStart w:id="730" w:name="_Toc29313"/>
      <w:r>
        <w:rPr>
          <w:b/>
          <w:kern w:val="0"/>
          <w:sz w:val="24"/>
        </w:rPr>
        <w:t>（八）</w:t>
      </w:r>
      <w:bookmarkStart w:id="731" w:name="_Hlk17026126"/>
      <w:r>
        <w:rPr>
          <w:rFonts w:hint="eastAsia" w:ascii="黑体" w:hAnsi="黑体" w:eastAsia="黑体" w:cs="黑体"/>
          <w:bCs/>
          <w:kern w:val="0"/>
          <w:sz w:val="24"/>
        </w:rPr>
        <w:t>其他管理和技术人员汇总表</w:t>
      </w:r>
      <w:bookmarkEnd w:id="724"/>
      <w:bookmarkEnd w:id="725"/>
      <w:bookmarkEnd w:id="726"/>
      <w:bookmarkEnd w:id="727"/>
      <w:bookmarkEnd w:id="731"/>
    </w:p>
    <w:p>
      <w:pPr>
        <w:spacing w:line="360" w:lineRule="auto"/>
        <w:ind w:firstLineChars="0"/>
        <w:rPr>
          <w:sz w:val="24"/>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887"/>
        <w:gridCol w:w="2434"/>
        <w:gridCol w:w="1189"/>
        <w:gridCol w:w="1252"/>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25" w:type="pct"/>
            <w:vAlign w:val="center"/>
          </w:tcPr>
          <w:p>
            <w:pPr>
              <w:ind w:firstLine="0" w:firstLineChars="0"/>
              <w:jc w:val="center"/>
              <w:rPr>
                <w:sz w:val="24"/>
              </w:rPr>
            </w:pPr>
            <w:r>
              <w:rPr>
                <w:sz w:val="24"/>
              </w:rPr>
              <w:t>姓名</w:t>
            </w:r>
          </w:p>
        </w:tc>
        <w:tc>
          <w:tcPr>
            <w:tcW w:w="521" w:type="pct"/>
            <w:vAlign w:val="center"/>
          </w:tcPr>
          <w:p>
            <w:pPr>
              <w:ind w:firstLine="0" w:firstLineChars="0"/>
              <w:jc w:val="center"/>
              <w:rPr>
                <w:sz w:val="24"/>
              </w:rPr>
            </w:pPr>
            <w:r>
              <w:rPr>
                <w:sz w:val="24"/>
              </w:rPr>
              <w:t>年龄</w:t>
            </w:r>
          </w:p>
        </w:tc>
        <w:tc>
          <w:tcPr>
            <w:tcW w:w="1429" w:type="pct"/>
            <w:vAlign w:val="center"/>
          </w:tcPr>
          <w:p>
            <w:pPr>
              <w:ind w:firstLine="0" w:firstLineChars="0"/>
              <w:jc w:val="center"/>
              <w:rPr>
                <w:sz w:val="24"/>
              </w:rPr>
            </w:pPr>
            <w:r>
              <w:rPr>
                <w:sz w:val="24"/>
              </w:rPr>
              <w:t>拟在本标段工程任职</w:t>
            </w:r>
          </w:p>
        </w:tc>
        <w:tc>
          <w:tcPr>
            <w:tcW w:w="698" w:type="pct"/>
            <w:vAlign w:val="center"/>
          </w:tcPr>
          <w:p>
            <w:pPr>
              <w:ind w:firstLine="0" w:firstLineChars="0"/>
              <w:jc w:val="center"/>
              <w:rPr>
                <w:sz w:val="24"/>
              </w:rPr>
            </w:pPr>
            <w:r>
              <w:rPr>
                <w:sz w:val="24"/>
              </w:rPr>
              <w:t>技术职称</w:t>
            </w:r>
          </w:p>
        </w:tc>
        <w:tc>
          <w:tcPr>
            <w:tcW w:w="735" w:type="pct"/>
            <w:vAlign w:val="center"/>
          </w:tcPr>
          <w:p>
            <w:pPr>
              <w:ind w:firstLine="0" w:firstLineChars="0"/>
              <w:jc w:val="center"/>
              <w:rPr>
                <w:sz w:val="24"/>
              </w:rPr>
            </w:pPr>
            <w:r>
              <w:rPr>
                <w:sz w:val="24"/>
              </w:rPr>
              <w:t>工作年限</w:t>
            </w:r>
          </w:p>
        </w:tc>
        <w:tc>
          <w:tcPr>
            <w:tcW w:w="1092" w:type="pct"/>
            <w:vAlign w:val="center"/>
          </w:tcPr>
          <w:p>
            <w:pPr>
              <w:ind w:firstLine="0" w:firstLineChars="0"/>
              <w:jc w:val="center"/>
              <w:rPr>
                <w:sz w:val="24"/>
              </w:rPr>
            </w:pPr>
            <w:r>
              <w:rPr>
                <w:sz w:val="24"/>
              </w:rPr>
              <w:t>类似施工经验年限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5" w:type="pct"/>
            <w:vAlign w:val="center"/>
          </w:tcPr>
          <w:p>
            <w:pPr>
              <w:ind w:firstLine="0" w:firstLineChars="0"/>
              <w:jc w:val="center"/>
              <w:rPr>
                <w:sz w:val="24"/>
              </w:rPr>
            </w:pPr>
          </w:p>
        </w:tc>
        <w:tc>
          <w:tcPr>
            <w:tcW w:w="521" w:type="pct"/>
            <w:vAlign w:val="center"/>
          </w:tcPr>
          <w:p>
            <w:pPr>
              <w:ind w:firstLine="0" w:firstLineChars="0"/>
              <w:jc w:val="center"/>
              <w:rPr>
                <w:sz w:val="24"/>
              </w:rPr>
            </w:pPr>
          </w:p>
        </w:tc>
        <w:tc>
          <w:tcPr>
            <w:tcW w:w="1429" w:type="pct"/>
            <w:vAlign w:val="center"/>
          </w:tcPr>
          <w:p>
            <w:pPr>
              <w:ind w:firstLine="0" w:firstLineChars="0"/>
              <w:jc w:val="center"/>
              <w:rPr>
                <w:sz w:val="24"/>
              </w:rPr>
            </w:pPr>
          </w:p>
        </w:tc>
        <w:tc>
          <w:tcPr>
            <w:tcW w:w="698" w:type="pct"/>
            <w:vAlign w:val="center"/>
          </w:tcPr>
          <w:p>
            <w:pPr>
              <w:ind w:firstLine="0" w:firstLineChars="0"/>
              <w:jc w:val="center"/>
              <w:rPr>
                <w:sz w:val="24"/>
              </w:rPr>
            </w:pPr>
          </w:p>
        </w:tc>
        <w:tc>
          <w:tcPr>
            <w:tcW w:w="735" w:type="pct"/>
            <w:vAlign w:val="center"/>
          </w:tcPr>
          <w:p>
            <w:pPr>
              <w:ind w:firstLine="0" w:firstLineChars="0"/>
              <w:jc w:val="center"/>
              <w:rPr>
                <w:sz w:val="24"/>
              </w:rPr>
            </w:pPr>
          </w:p>
        </w:tc>
        <w:tc>
          <w:tcPr>
            <w:tcW w:w="1092" w:type="pct"/>
            <w:vAlign w:val="center"/>
          </w:tcPr>
          <w:p>
            <w:pPr>
              <w:ind w:firstLine="0" w:firstLineChars="0"/>
              <w:jc w:val="center"/>
              <w:rPr>
                <w:sz w:val="24"/>
              </w:rPr>
            </w:pPr>
          </w:p>
        </w:tc>
      </w:tr>
    </w:tbl>
    <w:p>
      <w:pPr>
        <w:widowControl/>
        <w:ind w:firstLine="0" w:firstLineChars="0"/>
        <w:jc w:val="left"/>
        <w:rPr>
          <w:sz w:val="24"/>
        </w:rPr>
      </w:pPr>
      <w:r>
        <w:rPr>
          <w:sz w:val="24"/>
        </w:rPr>
        <w:t>注：本表填报的人员应满足招标文件第二章</w:t>
      </w:r>
      <w:r>
        <w:rPr>
          <w:rFonts w:hint="eastAsia" w:ascii="宋体" w:hAnsi="宋体" w:cs="宋体"/>
          <w:sz w:val="24"/>
        </w:rPr>
        <w:t>“投标人须知”</w:t>
      </w:r>
      <w:r>
        <w:rPr>
          <w:sz w:val="24"/>
        </w:rPr>
        <w:t>前附表附录6的要求。</w:t>
      </w:r>
      <w:r>
        <w:rPr>
          <w:sz w:val="24"/>
        </w:rPr>
        <w:br w:type="page"/>
      </w:r>
    </w:p>
    <w:p>
      <w:pPr>
        <w:spacing w:beforeLines="100" w:afterLines="100"/>
        <w:ind w:firstLine="0" w:firstLineChars="0"/>
        <w:jc w:val="center"/>
        <w:outlineLvl w:val="3"/>
        <w:rPr>
          <w:bCs/>
          <w:kern w:val="44"/>
          <w:sz w:val="24"/>
        </w:rPr>
      </w:pPr>
      <w:bookmarkStart w:id="732" w:name="_Toc15157"/>
      <w:bookmarkStart w:id="733" w:name="_Toc501257507"/>
      <w:bookmarkStart w:id="734" w:name="_Toc26657099"/>
      <w:bookmarkStart w:id="735" w:name="_Toc234833287"/>
      <w:r>
        <w:rPr>
          <w:b/>
          <w:kern w:val="0"/>
          <w:sz w:val="24"/>
        </w:rPr>
        <w:t>（九）</w:t>
      </w:r>
      <w:r>
        <w:rPr>
          <w:rFonts w:hint="eastAsia" w:ascii="黑体" w:hAnsi="黑体" w:eastAsia="黑体" w:cs="黑体"/>
          <w:bCs/>
          <w:kern w:val="0"/>
          <w:sz w:val="24"/>
        </w:rPr>
        <w:t>其他管理和技术人员简历表</w:t>
      </w:r>
      <w:bookmarkEnd w:id="732"/>
      <w:bookmarkEnd w:id="733"/>
      <w:bookmarkEnd w:id="734"/>
      <w:bookmarkEnd w:id="735"/>
    </w:p>
    <w:p>
      <w:pPr>
        <w:widowControl/>
        <w:autoSpaceDE w:val="0"/>
        <w:autoSpaceDN w:val="0"/>
        <w:ind w:firstLine="0" w:firstLineChars="0"/>
        <w:jc w:val="center"/>
        <w:textAlignment w:val="bottom"/>
        <w:rPr>
          <w:sz w:val="24"/>
        </w:rPr>
      </w:pP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81"/>
        <w:gridCol w:w="48"/>
        <w:gridCol w:w="1294"/>
        <w:gridCol w:w="99"/>
        <w:gridCol w:w="1015"/>
        <w:gridCol w:w="1322"/>
        <w:gridCol w:w="323"/>
        <w:gridCol w:w="1478"/>
        <w:gridCol w:w="369"/>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70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textAlignment w:val="bottom"/>
              <w:rPr>
                <w:sz w:val="24"/>
              </w:rPr>
            </w:pPr>
            <w:r>
              <w:rPr>
                <w:sz w:val="24"/>
              </w:rPr>
              <w:t>姓    名</w:t>
            </w:r>
          </w:p>
        </w:tc>
        <w:tc>
          <w:tcPr>
            <w:tcW w:w="862" w:type="pct"/>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textAlignment w:val="bottom"/>
              <w:rPr>
                <w:sz w:val="24"/>
              </w:rPr>
            </w:pPr>
          </w:p>
        </w:tc>
        <w:tc>
          <w:tcPr>
            <w:tcW w:w="60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textAlignment w:val="bottom"/>
              <w:rPr>
                <w:sz w:val="24"/>
              </w:rPr>
            </w:pPr>
            <w:r>
              <w:rPr>
                <w:sz w:val="24"/>
              </w:rPr>
              <w:t>年    龄</w:t>
            </w:r>
          </w:p>
        </w:tc>
        <w:tc>
          <w:tcPr>
            <w:tcW w:w="791" w:type="pct"/>
            <w:tcBorders>
              <w:top w:val="single" w:color="auto" w:sz="4" w:space="0"/>
              <w:left w:val="single" w:color="auto" w:sz="4" w:space="0"/>
              <w:bottom w:val="single" w:color="auto" w:sz="4" w:space="0"/>
              <w:right w:val="single" w:color="auto" w:sz="4" w:space="0"/>
            </w:tcBorders>
          </w:tcPr>
          <w:p>
            <w:pPr>
              <w:widowControl/>
              <w:autoSpaceDE w:val="0"/>
              <w:autoSpaceDN w:val="0"/>
              <w:ind w:firstLine="0" w:firstLineChars="0"/>
              <w:jc w:val="center"/>
              <w:textAlignment w:val="bottom"/>
              <w:rPr>
                <w:sz w:val="24"/>
              </w:rPr>
            </w:pPr>
          </w:p>
        </w:tc>
        <w:tc>
          <w:tcPr>
            <w:tcW w:w="1077" w:type="pct"/>
            <w:gridSpan w:val="2"/>
            <w:tcBorders>
              <w:top w:val="single" w:color="auto" w:sz="4" w:space="0"/>
              <w:left w:val="single" w:color="auto" w:sz="4" w:space="0"/>
              <w:bottom w:val="single" w:color="auto" w:sz="4" w:space="0"/>
              <w:right w:val="single" w:color="auto" w:sz="4" w:space="0"/>
            </w:tcBorders>
          </w:tcPr>
          <w:p>
            <w:pPr>
              <w:widowControl/>
              <w:autoSpaceDE w:val="0"/>
              <w:autoSpaceDN w:val="0"/>
              <w:ind w:firstLine="0" w:firstLineChars="0"/>
              <w:jc w:val="center"/>
              <w:textAlignment w:val="bottom"/>
              <w:rPr>
                <w:sz w:val="24"/>
              </w:rPr>
            </w:pPr>
            <w:r>
              <w:rPr>
                <w:sz w:val="24"/>
              </w:rPr>
              <w:t>专    业</w:t>
            </w:r>
          </w:p>
        </w:tc>
        <w:tc>
          <w:tcPr>
            <w:tcW w:w="956" w:type="pct"/>
            <w:gridSpan w:val="2"/>
            <w:tcBorders>
              <w:top w:val="single" w:color="auto" w:sz="4" w:space="0"/>
              <w:left w:val="single" w:color="auto" w:sz="4" w:space="0"/>
              <w:bottom w:val="single" w:color="auto" w:sz="4" w:space="0"/>
              <w:right w:val="single" w:color="auto" w:sz="4" w:space="0"/>
            </w:tcBorders>
          </w:tcPr>
          <w:p>
            <w:pPr>
              <w:widowControl/>
              <w:autoSpaceDE w:val="0"/>
              <w:autoSpaceDN w:val="0"/>
              <w:ind w:firstLine="0" w:firstLineChars="0"/>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70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textAlignment w:val="bottom"/>
              <w:rPr>
                <w:sz w:val="24"/>
              </w:rPr>
            </w:pPr>
            <w:r>
              <w:rPr>
                <w:sz w:val="24"/>
              </w:rPr>
              <w:t>技术职称</w:t>
            </w:r>
          </w:p>
        </w:tc>
        <w:tc>
          <w:tcPr>
            <w:tcW w:w="862" w:type="pct"/>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textAlignment w:val="bottom"/>
              <w:rPr>
                <w:sz w:val="24"/>
              </w:rPr>
            </w:pPr>
          </w:p>
        </w:tc>
        <w:tc>
          <w:tcPr>
            <w:tcW w:w="60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textAlignment w:val="bottom"/>
              <w:rPr>
                <w:sz w:val="24"/>
              </w:rPr>
            </w:pPr>
            <w:r>
              <w:rPr>
                <w:sz w:val="24"/>
              </w:rPr>
              <w:t>学    历</w:t>
            </w:r>
          </w:p>
        </w:tc>
        <w:tc>
          <w:tcPr>
            <w:tcW w:w="791" w:type="pct"/>
            <w:tcBorders>
              <w:top w:val="single" w:color="auto" w:sz="4" w:space="0"/>
              <w:left w:val="single" w:color="auto" w:sz="4" w:space="0"/>
              <w:bottom w:val="single" w:color="auto" w:sz="4" w:space="0"/>
              <w:right w:val="single" w:color="auto" w:sz="4" w:space="0"/>
            </w:tcBorders>
          </w:tcPr>
          <w:p>
            <w:pPr>
              <w:widowControl/>
              <w:autoSpaceDE w:val="0"/>
              <w:autoSpaceDN w:val="0"/>
              <w:ind w:firstLine="0" w:firstLineChars="0"/>
              <w:jc w:val="center"/>
              <w:textAlignment w:val="bottom"/>
              <w:rPr>
                <w:sz w:val="24"/>
              </w:rPr>
            </w:pPr>
          </w:p>
        </w:tc>
        <w:tc>
          <w:tcPr>
            <w:tcW w:w="1077" w:type="pct"/>
            <w:gridSpan w:val="2"/>
            <w:tcBorders>
              <w:top w:val="single" w:color="auto" w:sz="4" w:space="0"/>
              <w:left w:val="single" w:color="auto" w:sz="4" w:space="0"/>
              <w:bottom w:val="single" w:color="auto" w:sz="4" w:space="0"/>
              <w:right w:val="single" w:color="auto" w:sz="4" w:space="0"/>
            </w:tcBorders>
          </w:tcPr>
          <w:p>
            <w:pPr>
              <w:widowControl/>
              <w:autoSpaceDE w:val="0"/>
              <w:autoSpaceDN w:val="0"/>
              <w:ind w:firstLine="0" w:firstLineChars="0"/>
              <w:jc w:val="center"/>
              <w:textAlignment w:val="bottom"/>
              <w:rPr>
                <w:sz w:val="24"/>
              </w:rPr>
            </w:pPr>
            <w:r>
              <w:rPr>
                <w:sz w:val="24"/>
              </w:rPr>
              <w:t>拟在本标段</w:t>
            </w:r>
          </w:p>
          <w:p>
            <w:pPr>
              <w:widowControl/>
              <w:autoSpaceDE w:val="0"/>
              <w:autoSpaceDN w:val="0"/>
              <w:ind w:firstLine="0" w:firstLineChars="0"/>
              <w:jc w:val="center"/>
              <w:textAlignment w:val="bottom"/>
              <w:rPr>
                <w:sz w:val="24"/>
              </w:rPr>
            </w:pPr>
            <w:r>
              <w:rPr>
                <w:sz w:val="24"/>
              </w:rPr>
              <w:t>工程任职</w:t>
            </w:r>
          </w:p>
        </w:tc>
        <w:tc>
          <w:tcPr>
            <w:tcW w:w="956" w:type="pct"/>
            <w:gridSpan w:val="2"/>
            <w:tcBorders>
              <w:top w:val="single" w:color="auto" w:sz="4" w:space="0"/>
              <w:left w:val="single" w:color="auto" w:sz="4" w:space="0"/>
              <w:bottom w:val="single" w:color="auto" w:sz="4" w:space="0"/>
              <w:right w:val="single" w:color="auto" w:sz="4" w:space="0"/>
            </w:tcBorders>
          </w:tcPr>
          <w:p>
            <w:pPr>
              <w:widowControl/>
              <w:autoSpaceDE w:val="0"/>
              <w:autoSpaceDN w:val="0"/>
              <w:ind w:firstLine="0" w:firstLineChars="0"/>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07" w:type="pct"/>
            <w:vAlign w:val="center"/>
          </w:tcPr>
          <w:p>
            <w:pPr>
              <w:widowControl/>
              <w:autoSpaceDE w:val="0"/>
              <w:autoSpaceDN w:val="0"/>
              <w:ind w:firstLine="0" w:firstLineChars="0"/>
              <w:jc w:val="center"/>
              <w:textAlignment w:val="bottom"/>
              <w:rPr>
                <w:sz w:val="24"/>
              </w:rPr>
            </w:pPr>
            <w:r>
              <w:rPr>
                <w:sz w:val="24"/>
              </w:rPr>
              <w:t>工作年限</w:t>
            </w:r>
          </w:p>
        </w:tc>
        <w:tc>
          <w:tcPr>
            <w:tcW w:w="2260" w:type="pct"/>
            <w:gridSpan w:val="5"/>
            <w:vAlign w:val="center"/>
          </w:tcPr>
          <w:p>
            <w:pPr>
              <w:widowControl/>
              <w:autoSpaceDE w:val="0"/>
              <w:autoSpaceDN w:val="0"/>
              <w:ind w:firstLine="0" w:firstLineChars="0"/>
              <w:jc w:val="center"/>
              <w:textAlignment w:val="bottom"/>
              <w:rPr>
                <w:sz w:val="24"/>
              </w:rPr>
            </w:pPr>
          </w:p>
        </w:tc>
        <w:tc>
          <w:tcPr>
            <w:tcW w:w="1077" w:type="pct"/>
            <w:gridSpan w:val="2"/>
            <w:vAlign w:val="center"/>
          </w:tcPr>
          <w:p>
            <w:pPr>
              <w:widowControl/>
              <w:autoSpaceDE w:val="0"/>
              <w:autoSpaceDN w:val="0"/>
              <w:ind w:firstLine="0" w:firstLineChars="0"/>
              <w:jc w:val="center"/>
              <w:textAlignment w:val="bottom"/>
              <w:rPr>
                <w:sz w:val="24"/>
              </w:rPr>
            </w:pPr>
            <w:r>
              <w:rPr>
                <w:sz w:val="24"/>
              </w:rPr>
              <w:t>类似施工经验年限</w:t>
            </w:r>
          </w:p>
        </w:tc>
        <w:tc>
          <w:tcPr>
            <w:tcW w:w="956" w:type="pct"/>
            <w:gridSpan w:val="2"/>
          </w:tcPr>
          <w:p>
            <w:pPr>
              <w:widowControl/>
              <w:autoSpaceDE w:val="0"/>
              <w:autoSpaceDN w:val="0"/>
              <w:ind w:firstLine="0" w:firstLineChars="0"/>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707" w:type="pct"/>
            <w:vAlign w:val="center"/>
          </w:tcPr>
          <w:p>
            <w:pPr>
              <w:widowControl/>
              <w:autoSpaceDE w:val="0"/>
              <w:autoSpaceDN w:val="0"/>
              <w:ind w:firstLine="0" w:firstLineChars="0"/>
              <w:jc w:val="center"/>
              <w:textAlignment w:val="bottom"/>
              <w:rPr>
                <w:sz w:val="24"/>
              </w:rPr>
            </w:pPr>
            <w:r>
              <w:rPr>
                <w:sz w:val="24"/>
              </w:rPr>
              <w:t>毕业学校</w:t>
            </w:r>
          </w:p>
        </w:tc>
        <w:tc>
          <w:tcPr>
            <w:tcW w:w="4293" w:type="pct"/>
            <w:gridSpan w:val="9"/>
            <w:vAlign w:val="center"/>
          </w:tcPr>
          <w:p>
            <w:pPr>
              <w:widowControl/>
              <w:autoSpaceDE w:val="0"/>
              <w:autoSpaceDN w:val="0"/>
              <w:ind w:firstLine="0" w:firstLineChars="0"/>
              <w:jc w:val="center"/>
              <w:textAlignment w:val="bottom"/>
              <w:rPr>
                <w:sz w:val="24"/>
              </w:rPr>
            </w:pPr>
            <w:r>
              <w:rPr>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000" w:type="pct"/>
            <w:gridSpan w:val="10"/>
            <w:vAlign w:val="center"/>
          </w:tcPr>
          <w:p>
            <w:pPr>
              <w:widowControl/>
              <w:autoSpaceDE w:val="0"/>
              <w:autoSpaceDN w:val="0"/>
              <w:ind w:firstLine="0" w:firstLineChars="0"/>
              <w:jc w:val="center"/>
              <w:textAlignment w:val="bottom"/>
              <w:rPr>
                <w:sz w:val="24"/>
              </w:rPr>
            </w:pPr>
            <w:r>
              <w:rPr>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ind w:firstLine="0" w:firstLineChars="0"/>
              <w:jc w:val="center"/>
              <w:textAlignment w:val="bottom"/>
              <w:rPr>
                <w:sz w:val="24"/>
              </w:rPr>
            </w:pPr>
            <w:r>
              <w:rPr>
                <w:sz w:val="24"/>
              </w:rPr>
              <w:t>时  间</w:t>
            </w:r>
          </w:p>
        </w:tc>
        <w:tc>
          <w:tcPr>
            <w:tcW w:w="2424" w:type="pct"/>
            <w:gridSpan w:val="5"/>
            <w:vAlign w:val="center"/>
          </w:tcPr>
          <w:p>
            <w:pPr>
              <w:widowControl/>
              <w:autoSpaceDE w:val="0"/>
              <w:autoSpaceDN w:val="0"/>
              <w:ind w:firstLine="0" w:firstLineChars="0"/>
              <w:jc w:val="center"/>
              <w:textAlignment w:val="bottom"/>
              <w:rPr>
                <w:sz w:val="24"/>
              </w:rPr>
            </w:pPr>
            <w:r>
              <w:rPr>
                <w:sz w:val="24"/>
              </w:rPr>
              <w:t>参加过的类似工程项目名称</w:t>
            </w:r>
          </w:p>
        </w:tc>
        <w:tc>
          <w:tcPr>
            <w:tcW w:w="1105" w:type="pct"/>
            <w:gridSpan w:val="2"/>
            <w:vAlign w:val="center"/>
          </w:tcPr>
          <w:p>
            <w:pPr>
              <w:widowControl/>
              <w:autoSpaceDE w:val="0"/>
              <w:autoSpaceDN w:val="0"/>
              <w:ind w:firstLine="0" w:firstLineChars="0"/>
              <w:jc w:val="center"/>
              <w:textAlignment w:val="bottom"/>
              <w:rPr>
                <w:sz w:val="24"/>
              </w:rPr>
            </w:pPr>
            <w:r>
              <w:rPr>
                <w:sz w:val="24"/>
              </w:rPr>
              <w:t>担任职务</w:t>
            </w:r>
          </w:p>
        </w:tc>
        <w:tc>
          <w:tcPr>
            <w:tcW w:w="735" w:type="pct"/>
            <w:vAlign w:val="center"/>
          </w:tcPr>
          <w:p>
            <w:pPr>
              <w:widowControl/>
              <w:autoSpaceDE w:val="0"/>
              <w:autoSpaceDN w:val="0"/>
              <w:ind w:firstLine="0" w:firstLineChars="0"/>
              <w:jc w:val="center"/>
              <w:textAlignment w:val="bottom"/>
              <w:rPr>
                <w:sz w:val="24"/>
              </w:rPr>
            </w:pPr>
            <w:r>
              <w:rPr>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ind w:firstLine="0" w:firstLineChars="0"/>
              <w:jc w:val="center"/>
              <w:textAlignment w:val="bottom"/>
              <w:rPr>
                <w:sz w:val="24"/>
              </w:rPr>
            </w:pPr>
          </w:p>
        </w:tc>
        <w:tc>
          <w:tcPr>
            <w:tcW w:w="2424" w:type="pct"/>
            <w:gridSpan w:val="5"/>
            <w:vAlign w:val="center"/>
          </w:tcPr>
          <w:p>
            <w:pPr>
              <w:widowControl/>
              <w:autoSpaceDE w:val="0"/>
              <w:autoSpaceDN w:val="0"/>
              <w:ind w:firstLine="0" w:firstLineChars="0"/>
              <w:jc w:val="center"/>
              <w:textAlignment w:val="bottom"/>
              <w:rPr>
                <w:sz w:val="24"/>
              </w:rPr>
            </w:pPr>
          </w:p>
        </w:tc>
        <w:tc>
          <w:tcPr>
            <w:tcW w:w="1105" w:type="pct"/>
            <w:gridSpan w:val="2"/>
          </w:tcPr>
          <w:p>
            <w:pPr>
              <w:widowControl/>
              <w:autoSpaceDE w:val="0"/>
              <w:autoSpaceDN w:val="0"/>
              <w:ind w:firstLine="0" w:firstLineChars="0"/>
              <w:textAlignment w:val="bottom"/>
              <w:rPr>
                <w:sz w:val="24"/>
              </w:rPr>
            </w:pPr>
          </w:p>
        </w:tc>
        <w:tc>
          <w:tcPr>
            <w:tcW w:w="735" w:type="pct"/>
          </w:tcPr>
          <w:p>
            <w:pPr>
              <w:widowControl/>
              <w:autoSpaceDE w:val="0"/>
              <w:autoSpaceDN w:val="0"/>
              <w:ind w:firstLine="0" w:firstLineChars="0"/>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6" w:type="pct"/>
            <w:gridSpan w:val="2"/>
            <w:vAlign w:val="center"/>
          </w:tcPr>
          <w:p>
            <w:pPr>
              <w:widowControl/>
              <w:autoSpaceDE w:val="0"/>
              <w:autoSpaceDN w:val="0"/>
              <w:ind w:firstLine="0" w:firstLineChars="0"/>
              <w:jc w:val="center"/>
              <w:textAlignment w:val="bottom"/>
              <w:rPr>
                <w:sz w:val="24"/>
              </w:rPr>
            </w:pPr>
          </w:p>
        </w:tc>
        <w:tc>
          <w:tcPr>
            <w:tcW w:w="2424" w:type="pct"/>
            <w:gridSpan w:val="5"/>
            <w:vAlign w:val="center"/>
          </w:tcPr>
          <w:p>
            <w:pPr>
              <w:widowControl/>
              <w:autoSpaceDE w:val="0"/>
              <w:autoSpaceDN w:val="0"/>
              <w:ind w:firstLine="0" w:firstLineChars="0"/>
              <w:jc w:val="center"/>
              <w:textAlignment w:val="bottom"/>
              <w:rPr>
                <w:sz w:val="24"/>
              </w:rPr>
            </w:pPr>
          </w:p>
        </w:tc>
        <w:tc>
          <w:tcPr>
            <w:tcW w:w="1105" w:type="pct"/>
            <w:gridSpan w:val="2"/>
          </w:tcPr>
          <w:p>
            <w:pPr>
              <w:widowControl/>
              <w:autoSpaceDE w:val="0"/>
              <w:autoSpaceDN w:val="0"/>
              <w:ind w:firstLine="0" w:firstLineChars="0"/>
              <w:textAlignment w:val="bottom"/>
              <w:rPr>
                <w:sz w:val="24"/>
              </w:rPr>
            </w:pPr>
          </w:p>
        </w:tc>
        <w:tc>
          <w:tcPr>
            <w:tcW w:w="735" w:type="pct"/>
          </w:tcPr>
          <w:p>
            <w:pPr>
              <w:widowControl/>
              <w:autoSpaceDE w:val="0"/>
              <w:autoSpaceDN w:val="0"/>
              <w:ind w:firstLine="0" w:firstLineChars="0"/>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ind w:firstLine="0" w:firstLineChars="0"/>
              <w:jc w:val="center"/>
              <w:textAlignment w:val="bottom"/>
              <w:rPr>
                <w:sz w:val="24"/>
              </w:rPr>
            </w:pPr>
          </w:p>
        </w:tc>
        <w:tc>
          <w:tcPr>
            <w:tcW w:w="2424" w:type="pct"/>
            <w:gridSpan w:val="5"/>
            <w:vAlign w:val="center"/>
          </w:tcPr>
          <w:p>
            <w:pPr>
              <w:widowControl/>
              <w:autoSpaceDE w:val="0"/>
              <w:autoSpaceDN w:val="0"/>
              <w:ind w:firstLine="0" w:firstLineChars="0"/>
              <w:jc w:val="center"/>
              <w:textAlignment w:val="bottom"/>
              <w:rPr>
                <w:sz w:val="24"/>
              </w:rPr>
            </w:pPr>
          </w:p>
        </w:tc>
        <w:tc>
          <w:tcPr>
            <w:tcW w:w="1105" w:type="pct"/>
            <w:gridSpan w:val="2"/>
          </w:tcPr>
          <w:p>
            <w:pPr>
              <w:widowControl/>
              <w:autoSpaceDE w:val="0"/>
              <w:autoSpaceDN w:val="0"/>
              <w:ind w:firstLine="0" w:firstLineChars="0"/>
              <w:textAlignment w:val="bottom"/>
              <w:rPr>
                <w:sz w:val="24"/>
              </w:rPr>
            </w:pPr>
          </w:p>
        </w:tc>
        <w:tc>
          <w:tcPr>
            <w:tcW w:w="735" w:type="pct"/>
          </w:tcPr>
          <w:p>
            <w:pPr>
              <w:widowControl/>
              <w:autoSpaceDE w:val="0"/>
              <w:autoSpaceDN w:val="0"/>
              <w:ind w:firstLine="0" w:firstLineChars="0"/>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ind w:firstLine="0" w:firstLineChars="0"/>
              <w:jc w:val="center"/>
              <w:textAlignment w:val="bottom"/>
              <w:rPr>
                <w:sz w:val="24"/>
              </w:rPr>
            </w:pPr>
          </w:p>
        </w:tc>
        <w:tc>
          <w:tcPr>
            <w:tcW w:w="2424" w:type="pct"/>
            <w:gridSpan w:val="5"/>
            <w:vAlign w:val="center"/>
          </w:tcPr>
          <w:p>
            <w:pPr>
              <w:widowControl/>
              <w:autoSpaceDE w:val="0"/>
              <w:autoSpaceDN w:val="0"/>
              <w:ind w:firstLine="0" w:firstLineChars="0"/>
              <w:jc w:val="center"/>
              <w:textAlignment w:val="bottom"/>
              <w:rPr>
                <w:sz w:val="24"/>
              </w:rPr>
            </w:pPr>
          </w:p>
        </w:tc>
        <w:tc>
          <w:tcPr>
            <w:tcW w:w="1105" w:type="pct"/>
            <w:gridSpan w:val="2"/>
          </w:tcPr>
          <w:p>
            <w:pPr>
              <w:widowControl/>
              <w:autoSpaceDE w:val="0"/>
              <w:autoSpaceDN w:val="0"/>
              <w:ind w:firstLine="0" w:firstLineChars="0"/>
              <w:textAlignment w:val="bottom"/>
              <w:rPr>
                <w:sz w:val="24"/>
              </w:rPr>
            </w:pPr>
          </w:p>
        </w:tc>
        <w:tc>
          <w:tcPr>
            <w:tcW w:w="735" w:type="pct"/>
          </w:tcPr>
          <w:p>
            <w:pPr>
              <w:widowControl/>
              <w:autoSpaceDE w:val="0"/>
              <w:autoSpaceDN w:val="0"/>
              <w:ind w:firstLine="0" w:firstLineChars="0"/>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ind w:firstLine="0" w:firstLineChars="0"/>
              <w:jc w:val="center"/>
              <w:textAlignment w:val="bottom"/>
              <w:rPr>
                <w:sz w:val="24"/>
              </w:rPr>
            </w:pPr>
          </w:p>
        </w:tc>
        <w:tc>
          <w:tcPr>
            <w:tcW w:w="2424" w:type="pct"/>
            <w:gridSpan w:val="5"/>
            <w:vAlign w:val="center"/>
          </w:tcPr>
          <w:p>
            <w:pPr>
              <w:widowControl/>
              <w:autoSpaceDE w:val="0"/>
              <w:autoSpaceDN w:val="0"/>
              <w:ind w:firstLine="0" w:firstLineChars="0"/>
              <w:jc w:val="center"/>
              <w:textAlignment w:val="bottom"/>
              <w:rPr>
                <w:sz w:val="24"/>
              </w:rPr>
            </w:pPr>
          </w:p>
        </w:tc>
        <w:tc>
          <w:tcPr>
            <w:tcW w:w="1105" w:type="pct"/>
            <w:gridSpan w:val="2"/>
          </w:tcPr>
          <w:p>
            <w:pPr>
              <w:widowControl/>
              <w:autoSpaceDE w:val="0"/>
              <w:autoSpaceDN w:val="0"/>
              <w:ind w:firstLine="0" w:firstLineChars="0"/>
              <w:textAlignment w:val="bottom"/>
              <w:rPr>
                <w:sz w:val="24"/>
              </w:rPr>
            </w:pPr>
          </w:p>
        </w:tc>
        <w:tc>
          <w:tcPr>
            <w:tcW w:w="735" w:type="pct"/>
          </w:tcPr>
          <w:p>
            <w:pPr>
              <w:widowControl/>
              <w:autoSpaceDE w:val="0"/>
              <w:autoSpaceDN w:val="0"/>
              <w:ind w:firstLine="0" w:firstLineChars="0"/>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ind w:firstLine="0" w:firstLineChars="0"/>
              <w:jc w:val="center"/>
              <w:textAlignment w:val="bottom"/>
              <w:rPr>
                <w:sz w:val="24"/>
              </w:rPr>
            </w:pPr>
          </w:p>
        </w:tc>
        <w:tc>
          <w:tcPr>
            <w:tcW w:w="2424" w:type="pct"/>
            <w:gridSpan w:val="5"/>
            <w:vAlign w:val="center"/>
          </w:tcPr>
          <w:p>
            <w:pPr>
              <w:widowControl/>
              <w:autoSpaceDE w:val="0"/>
              <w:autoSpaceDN w:val="0"/>
              <w:ind w:firstLine="0" w:firstLineChars="0"/>
              <w:jc w:val="center"/>
              <w:textAlignment w:val="bottom"/>
              <w:rPr>
                <w:sz w:val="24"/>
              </w:rPr>
            </w:pPr>
          </w:p>
        </w:tc>
        <w:tc>
          <w:tcPr>
            <w:tcW w:w="1105" w:type="pct"/>
            <w:gridSpan w:val="2"/>
          </w:tcPr>
          <w:p>
            <w:pPr>
              <w:widowControl/>
              <w:autoSpaceDE w:val="0"/>
              <w:autoSpaceDN w:val="0"/>
              <w:ind w:firstLine="0" w:firstLineChars="0"/>
              <w:textAlignment w:val="bottom"/>
              <w:rPr>
                <w:sz w:val="24"/>
              </w:rPr>
            </w:pPr>
          </w:p>
        </w:tc>
        <w:tc>
          <w:tcPr>
            <w:tcW w:w="735" w:type="pct"/>
          </w:tcPr>
          <w:p>
            <w:pPr>
              <w:widowControl/>
              <w:autoSpaceDE w:val="0"/>
              <w:autoSpaceDN w:val="0"/>
              <w:ind w:firstLine="0" w:firstLineChars="0"/>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ind w:firstLine="0" w:firstLineChars="0"/>
              <w:jc w:val="center"/>
              <w:textAlignment w:val="bottom"/>
              <w:rPr>
                <w:sz w:val="24"/>
              </w:rPr>
            </w:pPr>
          </w:p>
        </w:tc>
        <w:tc>
          <w:tcPr>
            <w:tcW w:w="2424" w:type="pct"/>
            <w:gridSpan w:val="5"/>
            <w:vAlign w:val="center"/>
          </w:tcPr>
          <w:p>
            <w:pPr>
              <w:widowControl/>
              <w:autoSpaceDE w:val="0"/>
              <w:autoSpaceDN w:val="0"/>
              <w:ind w:firstLine="0" w:firstLineChars="0"/>
              <w:jc w:val="center"/>
              <w:textAlignment w:val="bottom"/>
              <w:rPr>
                <w:sz w:val="24"/>
              </w:rPr>
            </w:pPr>
          </w:p>
        </w:tc>
        <w:tc>
          <w:tcPr>
            <w:tcW w:w="1105" w:type="pct"/>
            <w:gridSpan w:val="2"/>
          </w:tcPr>
          <w:p>
            <w:pPr>
              <w:widowControl/>
              <w:autoSpaceDE w:val="0"/>
              <w:autoSpaceDN w:val="0"/>
              <w:ind w:firstLine="0" w:firstLineChars="0"/>
              <w:textAlignment w:val="bottom"/>
              <w:rPr>
                <w:sz w:val="24"/>
              </w:rPr>
            </w:pPr>
          </w:p>
        </w:tc>
        <w:tc>
          <w:tcPr>
            <w:tcW w:w="735" w:type="pct"/>
          </w:tcPr>
          <w:p>
            <w:pPr>
              <w:widowControl/>
              <w:autoSpaceDE w:val="0"/>
              <w:autoSpaceDN w:val="0"/>
              <w:ind w:firstLine="0" w:firstLineChars="0"/>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10" w:type="pct"/>
            <w:gridSpan w:val="3"/>
            <w:vAlign w:val="center"/>
          </w:tcPr>
          <w:p>
            <w:pPr>
              <w:widowControl/>
              <w:autoSpaceDE w:val="0"/>
              <w:autoSpaceDN w:val="0"/>
              <w:ind w:firstLine="0" w:firstLineChars="0"/>
              <w:jc w:val="center"/>
              <w:textAlignment w:val="bottom"/>
              <w:rPr>
                <w:sz w:val="24"/>
              </w:rPr>
            </w:pPr>
            <w:r>
              <w:rPr>
                <w:sz w:val="24"/>
              </w:rPr>
              <w:t>获奖情况</w:t>
            </w:r>
          </w:p>
        </w:tc>
        <w:tc>
          <w:tcPr>
            <w:tcW w:w="3490" w:type="pct"/>
            <w:gridSpan w:val="7"/>
          </w:tcPr>
          <w:p>
            <w:pPr>
              <w:widowControl/>
              <w:autoSpaceDE w:val="0"/>
              <w:autoSpaceDN w:val="0"/>
              <w:ind w:firstLine="0" w:firstLineChars="0"/>
              <w:textAlignment w:val="bottom"/>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10" w:type="pct"/>
            <w:gridSpan w:val="3"/>
            <w:vAlign w:val="center"/>
          </w:tcPr>
          <w:p>
            <w:pPr>
              <w:widowControl/>
              <w:autoSpaceDE w:val="0"/>
              <w:autoSpaceDN w:val="0"/>
              <w:ind w:firstLine="0" w:firstLineChars="0"/>
              <w:jc w:val="center"/>
              <w:textAlignment w:val="bottom"/>
              <w:rPr>
                <w:sz w:val="24"/>
              </w:rPr>
            </w:pPr>
            <w:r>
              <w:rPr>
                <w:sz w:val="24"/>
              </w:rPr>
              <w:t>说明在岗情况</w:t>
            </w:r>
          </w:p>
        </w:tc>
        <w:tc>
          <w:tcPr>
            <w:tcW w:w="3490" w:type="pct"/>
            <w:gridSpan w:val="7"/>
          </w:tcPr>
          <w:p>
            <w:pPr>
              <w:topLinePunct/>
              <w:ind w:firstLine="0" w:firstLineChars="0"/>
              <w:rPr>
                <w:sz w:val="24"/>
              </w:rPr>
            </w:pPr>
            <w:r>
              <w:rPr>
                <w:sz w:val="24"/>
              </w:rPr>
              <w:t>□目前未在其他项目上任职，现从事工作为：</w:t>
            </w:r>
            <w:r>
              <w:rPr>
                <w:sz w:val="24"/>
                <w:u w:val="single"/>
              </w:rPr>
              <w:t xml:space="preserve">         </w:t>
            </w:r>
            <w:r>
              <w:rPr>
                <w:sz w:val="24"/>
              </w:rPr>
              <w:t>。</w:t>
            </w:r>
          </w:p>
          <w:p>
            <w:pPr>
              <w:widowControl/>
              <w:autoSpaceDE w:val="0"/>
              <w:autoSpaceDN w:val="0"/>
              <w:ind w:firstLine="0" w:firstLineChars="0"/>
              <w:textAlignment w:val="bottom"/>
              <w:rPr>
                <w:sz w:val="24"/>
              </w:rPr>
            </w:pPr>
            <w:r>
              <w:rPr>
                <w:sz w:val="24"/>
              </w:rPr>
              <w:t>□目前虽在其他项目上任职，但</w:t>
            </w:r>
            <w:r>
              <w:rPr>
                <w:rFonts w:hint="eastAsia"/>
                <w:sz w:val="24"/>
              </w:rPr>
              <w:t>本招标项目</w:t>
            </w:r>
            <w:r>
              <w:rPr>
                <w:sz w:val="24"/>
              </w:rPr>
              <w:t>中标后能够从该项目撤离，目前任职项目：</w:t>
            </w:r>
            <w:r>
              <w:rPr>
                <w:sz w:val="24"/>
                <w:u w:val="single"/>
              </w:rPr>
              <w:t xml:space="preserve">                 </w:t>
            </w:r>
            <w:r>
              <w:rPr>
                <w:sz w:val="24"/>
              </w:rPr>
              <w:t>，担任职位：</w:t>
            </w:r>
            <w:r>
              <w:rPr>
                <w:sz w:val="24"/>
                <w:u w:val="single"/>
              </w:rPr>
              <w:t xml:space="preserve">           </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10" w:type="pct"/>
            <w:gridSpan w:val="3"/>
            <w:vAlign w:val="center"/>
          </w:tcPr>
          <w:p>
            <w:pPr>
              <w:widowControl/>
              <w:autoSpaceDE w:val="0"/>
              <w:autoSpaceDN w:val="0"/>
              <w:ind w:firstLine="0" w:firstLineChars="0"/>
              <w:jc w:val="center"/>
              <w:textAlignment w:val="bottom"/>
              <w:rPr>
                <w:sz w:val="24"/>
              </w:rPr>
            </w:pPr>
            <w:r>
              <w:rPr>
                <w:sz w:val="24"/>
              </w:rPr>
              <w:t>备     注</w:t>
            </w:r>
          </w:p>
        </w:tc>
        <w:tc>
          <w:tcPr>
            <w:tcW w:w="3490" w:type="pct"/>
            <w:gridSpan w:val="7"/>
          </w:tcPr>
          <w:p>
            <w:pPr>
              <w:widowControl/>
              <w:autoSpaceDE w:val="0"/>
              <w:autoSpaceDN w:val="0"/>
              <w:ind w:firstLine="0" w:firstLineChars="0"/>
              <w:textAlignment w:val="bottom"/>
              <w:rPr>
                <w:sz w:val="24"/>
              </w:rPr>
            </w:pPr>
          </w:p>
        </w:tc>
      </w:tr>
    </w:tbl>
    <w:p>
      <w:pPr>
        <w:ind w:firstLine="0" w:firstLineChars="0"/>
        <w:rPr>
          <w:sz w:val="24"/>
        </w:rPr>
      </w:pPr>
      <w:r>
        <w:rPr>
          <w:sz w:val="24"/>
        </w:rPr>
        <w:t>注：1.本表人员应与表（八）中所列人员相一致。</w:t>
      </w:r>
    </w:p>
    <w:p>
      <w:pPr>
        <w:ind w:firstLine="0" w:firstLineChars="0"/>
        <w:rPr>
          <w:bCs/>
          <w:kern w:val="0"/>
          <w:sz w:val="24"/>
        </w:rPr>
      </w:pPr>
      <w:r>
        <w:rPr>
          <w:bCs/>
          <w:kern w:val="0"/>
          <w:sz w:val="24"/>
        </w:rPr>
        <w:t>2.</w:t>
      </w:r>
      <w:r>
        <w:rPr>
          <w:sz w:val="24"/>
        </w:rPr>
        <w:t>投标人应根据招标文件第二章</w:t>
      </w:r>
      <w:r>
        <w:rPr>
          <w:rFonts w:hint="eastAsia" w:ascii="宋体" w:hAnsi="宋体" w:cs="宋体"/>
          <w:sz w:val="24"/>
        </w:rPr>
        <w:t>“投标人须知”</w:t>
      </w:r>
      <w:r>
        <w:rPr>
          <w:sz w:val="24"/>
        </w:rPr>
        <w:t>第3.5.6项的要求在本表后附相关证明材料。</w:t>
      </w:r>
    </w:p>
    <w:p>
      <w:pPr>
        <w:spacing w:beforeLines="100" w:afterLines="100"/>
        <w:ind w:firstLine="0" w:firstLineChars="0"/>
        <w:jc w:val="center"/>
        <w:outlineLvl w:val="3"/>
        <w:rPr>
          <w:b/>
          <w:kern w:val="0"/>
          <w:sz w:val="24"/>
        </w:rPr>
      </w:pPr>
      <w:r>
        <w:rPr>
          <w:b/>
          <w:bCs/>
          <w:kern w:val="44"/>
          <w:sz w:val="24"/>
        </w:rPr>
        <w:br w:type="page"/>
      </w:r>
      <w:bookmarkStart w:id="736" w:name="_Toc11066"/>
      <w:bookmarkStart w:id="737" w:name="_Toc26657100"/>
      <w:bookmarkStart w:id="738" w:name="_Toc234833288"/>
      <w:bookmarkStart w:id="739" w:name="_Toc501257508"/>
      <w:r>
        <w:rPr>
          <w:b/>
          <w:kern w:val="0"/>
          <w:sz w:val="24"/>
        </w:rPr>
        <w:t>（十）</w:t>
      </w:r>
      <w:bookmarkStart w:id="740" w:name="_Hlk17026216"/>
      <w:r>
        <w:rPr>
          <w:rFonts w:hint="eastAsia" w:ascii="黑体" w:hAnsi="黑体" w:eastAsia="黑体" w:cs="黑体"/>
          <w:bCs/>
          <w:kern w:val="0"/>
          <w:sz w:val="24"/>
        </w:rPr>
        <w:t>拟投入本标段的主要施工机械表</w:t>
      </w:r>
      <w:bookmarkEnd w:id="736"/>
      <w:bookmarkEnd w:id="737"/>
      <w:bookmarkEnd w:id="738"/>
      <w:bookmarkEnd w:id="739"/>
      <w:bookmarkEnd w:id="740"/>
    </w:p>
    <w:p>
      <w:pPr>
        <w:spacing w:line="360" w:lineRule="auto"/>
        <w:ind w:firstLine="480"/>
        <w:rPr>
          <w:sz w:val="24"/>
        </w:rPr>
      </w:pPr>
    </w:p>
    <w:tbl>
      <w:tblPr>
        <w:tblStyle w:val="56"/>
        <w:tblW w:w="485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021"/>
        <w:gridCol w:w="707"/>
        <w:gridCol w:w="623"/>
        <w:gridCol w:w="613"/>
        <w:gridCol w:w="1043"/>
        <w:gridCol w:w="599"/>
        <w:gridCol w:w="456"/>
        <w:gridCol w:w="517"/>
        <w:gridCol w:w="518"/>
        <w:gridCol w:w="519"/>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2" w:type="pct"/>
            <w:vMerge w:val="restart"/>
            <w:vAlign w:val="center"/>
          </w:tcPr>
          <w:p>
            <w:pPr>
              <w:ind w:firstLine="0" w:firstLineChars="0"/>
              <w:jc w:val="center"/>
              <w:rPr>
                <w:sz w:val="24"/>
              </w:rPr>
            </w:pPr>
            <w:r>
              <w:rPr>
                <w:sz w:val="24"/>
              </w:rPr>
              <w:t>序号</w:t>
            </w:r>
          </w:p>
        </w:tc>
        <w:tc>
          <w:tcPr>
            <w:tcW w:w="629" w:type="pct"/>
            <w:vMerge w:val="restart"/>
            <w:vAlign w:val="center"/>
          </w:tcPr>
          <w:p>
            <w:pPr>
              <w:ind w:firstLine="0" w:firstLineChars="0"/>
              <w:jc w:val="center"/>
              <w:rPr>
                <w:sz w:val="24"/>
              </w:rPr>
            </w:pPr>
            <w:r>
              <w:rPr>
                <w:sz w:val="24"/>
              </w:rPr>
              <w:t>设备名称</w:t>
            </w:r>
          </w:p>
        </w:tc>
        <w:tc>
          <w:tcPr>
            <w:tcW w:w="439" w:type="pct"/>
            <w:vMerge w:val="restart"/>
            <w:vAlign w:val="center"/>
          </w:tcPr>
          <w:p>
            <w:pPr>
              <w:ind w:firstLine="0" w:firstLineChars="0"/>
              <w:jc w:val="center"/>
              <w:rPr>
                <w:sz w:val="24"/>
              </w:rPr>
            </w:pPr>
            <w:r>
              <w:rPr>
                <w:sz w:val="24"/>
              </w:rPr>
              <w:t>型号</w:t>
            </w:r>
          </w:p>
          <w:p>
            <w:pPr>
              <w:ind w:firstLine="0" w:firstLineChars="0"/>
              <w:jc w:val="center"/>
              <w:rPr>
                <w:sz w:val="24"/>
              </w:rPr>
            </w:pPr>
            <w:r>
              <w:rPr>
                <w:sz w:val="24"/>
              </w:rPr>
              <w:t>规格</w:t>
            </w:r>
          </w:p>
        </w:tc>
        <w:tc>
          <w:tcPr>
            <w:tcW w:w="388" w:type="pct"/>
            <w:vMerge w:val="restart"/>
            <w:vAlign w:val="center"/>
          </w:tcPr>
          <w:p>
            <w:pPr>
              <w:ind w:firstLine="0" w:firstLineChars="0"/>
              <w:jc w:val="center"/>
              <w:rPr>
                <w:sz w:val="24"/>
              </w:rPr>
            </w:pPr>
            <w:r>
              <w:rPr>
                <w:sz w:val="24"/>
              </w:rPr>
              <w:t>国别</w:t>
            </w:r>
          </w:p>
          <w:p>
            <w:pPr>
              <w:ind w:firstLine="0" w:firstLineChars="0"/>
              <w:jc w:val="center"/>
              <w:rPr>
                <w:sz w:val="24"/>
              </w:rPr>
            </w:pPr>
            <w:r>
              <w:rPr>
                <w:sz w:val="24"/>
              </w:rPr>
              <w:t>产地</w:t>
            </w:r>
          </w:p>
        </w:tc>
        <w:tc>
          <w:tcPr>
            <w:tcW w:w="382" w:type="pct"/>
            <w:vMerge w:val="restart"/>
            <w:vAlign w:val="center"/>
          </w:tcPr>
          <w:p>
            <w:pPr>
              <w:ind w:firstLine="0" w:firstLineChars="0"/>
              <w:jc w:val="center"/>
              <w:rPr>
                <w:sz w:val="24"/>
              </w:rPr>
            </w:pPr>
            <w:r>
              <w:rPr>
                <w:sz w:val="24"/>
              </w:rPr>
              <w:t>制造</w:t>
            </w:r>
          </w:p>
          <w:p>
            <w:pPr>
              <w:ind w:firstLine="0" w:firstLineChars="0"/>
              <w:jc w:val="center"/>
              <w:rPr>
                <w:sz w:val="24"/>
              </w:rPr>
            </w:pPr>
            <w:r>
              <w:rPr>
                <w:sz w:val="24"/>
              </w:rPr>
              <w:t>年份</w:t>
            </w:r>
          </w:p>
        </w:tc>
        <w:tc>
          <w:tcPr>
            <w:tcW w:w="545" w:type="pct"/>
            <w:vMerge w:val="restart"/>
            <w:vAlign w:val="center"/>
          </w:tcPr>
          <w:p>
            <w:pPr>
              <w:ind w:firstLine="0" w:firstLineChars="0"/>
              <w:jc w:val="center"/>
              <w:rPr>
                <w:sz w:val="24"/>
              </w:rPr>
            </w:pPr>
            <w:r>
              <w:rPr>
                <w:sz w:val="24"/>
              </w:rPr>
              <w:t>额定功率（kW）</w:t>
            </w:r>
          </w:p>
        </w:tc>
        <w:tc>
          <w:tcPr>
            <w:tcW w:w="374" w:type="pct"/>
            <w:vMerge w:val="restart"/>
            <w:vAlign w:val="center"/>
          </w:tcPr>
          <w:p>
            <w:pPr>
              <w:ind w:firstLine="0" w:firstLineChars="0"/>
              <w:jc w:val="center"/>
              <w:rPr>
                <w:sz w:val="24"/>
              </w:rPr>
            </w:pPr>
            <w:r>
              <w:rPr>
                <w:sz w:val="24"/>
              </w:rPr>
              <w:t>生产</w:t>
            </w:r>
          </w:p>
          <w:p>
            <w:pPr>
              <w:ind w:firstLine="0" w:firstLineChars="0"/>
              <w:jc w:val="center"/>
              <w:rPr>
                <w:sz w:val="24"/>
              </w:rPr>
            </w:pPr>
            <w:r>
              <w:rPr>
                <w:sz w:val="24"/>
              </w:rPr>
              <w:t>能力</w:t>
            </w:r>
          </w:p>
        </w:tc>
        <w:tc>
          <w:tcPr>
            <w:tcW w:w="1222" w:type="pct"/>
            <w:gridSpan w:val="4"/>
            <w:vAlign w:val="center"/>
          </w:tcPr>
          <w:p>
            <w:pPr>
              <w:ind w:firstLine="0" w:firstLineChars="0"/>
              <w:jc w:val="center"/>
              <w:rPr>
                <w:sz w:val="24"/>
              </w:rPr>
            </w:pPr>
            <w:r>
              <w:rPr>
                <w:sz w:val="24"/>
              </w:rPr>
              <w:t>数量（台）</w:t>
            </w:r>
          </w:p>
        </w:tc>
        <w:tc>
          <w:tcPr>
            <w:tcW w:w="549" w:type="pct"/>
            <w:vMerge w:val="restart"/>
            <w:vAlign w:val="center"/>
          </w:tcPr>
          <w:p>
            <w:pPr>
              <w:ind w:firstLine="0" w:firstLineChars="0"/>
              <w:jc w:val="center"/>
              <w:rPr>
                <w:sz w:val="24"/>
              </w:rPr>
            </w:pPr>
            <w:r>
              <w:rPr>
                <w:sz w:val="24"/>
              </w:rPr>
              <w:t>预计进场时间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continue"/>
            <w:vAlign w:val="center"/>
          </w:tcPr>
          <w:p>
            <w:pPr>
              <w:ind w:firstLine="0" w:firstLineChars="0"/>
              <w:rPr>
                <w:sz w:val="24"/>
              </w:rPr>
            </w:pPr>
          </w:p>
        </w:tc>
        <w:tc>
          <w:tcPr>
            <w:tcW w:w="629" w:type="pct"/>
            <w:vMerge w:val="continue"/>
            <w:vAlign w:val="center"/>
          </w:tcPr>
          <w:p>
            <w:pPr>
              <w:ind w:firstLine="0" w:firstLineChars="0"/>
              <w:jc w:val="center"/>
              <w:rPr>
                <w:sz w:val="24"/>
              </w:rPr>
            </w:pPr>
          </w:p>
        </w:tc>
        <w:tc>
          <w:tcPr>
            <w:tcW w:w="439" w:type="pct"/>
            <w:vMerge w:val="continue"/>
            <w:vAlign w:val="center"/>
          </w:tcPr>
          <w:p>
            <w:pPr>
              <w:ind w:firstLine="0" w:firstLineChars="0"/>
              <w:jc w:val="center"/>
              <w:rPr>
                <w:sz w:val="24"/>
              </w:rPr>
            </w:pPr>
          </w:p>
        </w:tc>
        <w:tc>
          <w:tcPr>
            <w:tcW w:w="388" w:type="pct"/>
            <w:vMerge w:val="continue"/>
            <w:vAlign w:val="center"/>
          </w:tcPr>
          <w:p>
            <w:pPr>
              <w:ind w:firstLine="0" w:firstLineChars="0"/>
              <w:jc w:val="center"/>
              <w:rPr>
                <w:sz w:val="24"/>
              </w:rPr>
            </w:pPr>
          </w:p>
        </w:tc>
        <w:tc>
          <w:tcPr>
            <w:tcW w:w="382" w:type="pct"/>
            <w:vMerge w:val="continue"/>
            <w:vAlign w:val="center"/>
          </w:tcPr>
          <w:p>
            <w:pPr>
              <w:ind w:firstLine="0" w:firstLineChars="0"/>
              <w:jc w:val="center"/>
              <w:rPr>
                <w:sz w:val="24"/>
              </w:rPr>
            </w:pPr>
          </w:p>
        </w:tc>
        <w:tc>
          <w:tcPr>
            <w:tcW w:w="545" w:type="pct"/>
            <w:vMerge w:val="continue"/>
            <w:vAlign w:val="center"/>
          </w:tcPr>
          <w:p>
            <w:pPr>
              <w:ind w:firstLine="0" w:firstLineChars="0"/>
              <w:jc w:val="center"/>
              <w:rPr>
                <w:sz w:val="24"/>
              </w:rPr>
            </w:pPr>
          </w:p>
        </w:tc>
        <w:tc>
          <w:tcPr>
            <w:tcW w:w="374" w:type="pct"/>
            <w:vMerge w:val="continue"/>
            <w:vAlign w:val="center"/>
          </w:tcPr>
          <w:p>
            <w:pPr>
              <w:ind w:firstLine="0" w:firstLineChars="0"/>
              <w:jc w:val="center"/>
              <w:rPr>
                <w:sz w:val="24"/>
              </w:rPr>
            </w:pPr>
          </w:p>
        </w:tc>
        <w:tc>
          <w:tcPr>
            <w:tcW w:w="249" w:type="pct"/>
            <w:vMerge w:val="restart"/>
            <w:vAlign w:val="center"/>
          </w:tcPr>
          <w:p>
            <w:pPr>
              <w:ind w:firstLine="0" w:firstLineChars="0"/>
              <w:jc w:val="center"/>
              <w:rPr>
                <w:sz w:val="24"/>
              </w:rPr>
            </w:pPr>
            <w:r>
              <w:rPr>
                <w:sz w:val="24"/>
              </w:rPr>
              <w:t>小计</w:t>
            </w:r>
          </w:p>
        </w:tc>
        <w:tc>
          <w:tcPr>
            <w:tcW w:w="973" w:type="pct"/>
            <w:gridSpan w:val="3"/>
            <w:vAlign w:val="center"/>
          </w:tcPr>
          <w:p>
            <w:pPr>
              <w:ind w:firstLine="0" w:firstLineChars="0"/>
              <w:jc w:val="center"/>
              <w:rPr>
                <w:sz w:val="24"/>
              </w:rPr>
            </w:pPr>
            <w:r>
              <w:rPr>
                <w:sz w:val="24"/>
              </w:rPr>
              <w:t>其 中</w:t>
            </w:r>
          </w:p>
        </w:tc>
        <w:tc>
          <w:tcPr>
            <w:tcW w:w="549" w:type="pct"/>
            <w:vMerge w:val="continue"/>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472" w:type="pct"/>
            <w:vMerge w:val="continue"/>
            <w:vAlign w:val="center"/>
          </w:tcPr>
          <w:p>
            <w:pPr>
              <w:ind w:firstLine="0" w:firstLineChars="0"/>
              <w:rPr>
                <w:sz w:val="24"/>
              </w:rPr>
            </w:pPr>
          </w:p>
        </w:tc>
        <w:tc>
          <w:tcPr>
            <w:tcW w:w="629" w:type="pct"/>
            <w:vMerge w:val="continue"/>
            <w:vAlign w:val="center"/>
          </w:tcPr>
          <w:p>
            <w:pPr>
              <w:ind w:firstLine="0" w:firstLineChars="0"/>
              <w:jc w:val="center"/>
              <w:rPr>
                <w:sz w:val="24"/>
              </w:rPr>
            </w:pPr>
          </w:p>
        </w:tc>
        <w:tc>
          <w:tcPr>
            <w:tcW w:w="439" w:type="pct"/>
            <w:vMerge w:val="continue"/>
            <w:vAlign w:val="center"/>
          </w:tcPr>
          <w:p>
            <w:pPr>
              <w:ind w:firstLine="0" w:firstLineChars="0"/>
              <w:jc w:val="center"/>
              <w:rPr>
                <w:sz w:val="24"/>
              </w:rPr>
            </w:pPr>
          </w:p>
        </w:tc>
        <w:tc>
          <w:tcPr>
            <w:tcW w:w="388" w:type="pct"/>
            <w:vMerge w:val="continue"/>
            <w:vAlign w:val="center"/>
          </w:tcPr>
          <w:p>
            <w:pPr>
              <w:ind w:firstLine="0" w:firstLineChars="0"/>
              <w:jc w:val="center"/>
              <w:rPr>
                <w:sz w:val="24"/>
              </w:rPr>
            </w:pPr>
          </w:p>
        </w:tc>
        <w:tc>
          <w:tcPr>
            <w:tcW w:w="382" w:type="pct"/>
            <w:vMerge w:val="continue"/>
            <w:vAlign w:val="center"/>
          </w:tcPr>
          <w:p>
            <w:pPr>
              <w:ind w:firstLine="0" w:firstLineChars="0"/>
              <w:jc w:val="center"/>
              <w:rPr>
                <w:sz w:val="24"/>
              </w:rPr>
            </w:pPr>
          </w:p>
        </w:tc>
        <w:tc>
          <w:tcPr>
            <w:tcW w:w="545" w:type="pct"/>
            <w:vMerge w:val="continue"/>
            <w:vAlign w:val="center"/>
          </w:tcPr>
          <w:p>
            <w:pPr>
              <w:ind w:firstLine="0" w:firstLineChars="0"/>
              <w:jc w:val="center"/>
              <w:rPr>
                <w:sz w:val="24"/>
              </w:rPr>
            </w:pPr>
          </w:p>
        </w:tc>
        <w:tc>
          <w:tcPr>
            <w:tcW w:w="374" w:type="pct"/>
            <w:vMerge w:val="continue"/>
            <w:vAlign w:val="center"/>
          </w:tcPr>
          <w:p>
            <w:pPr>
              <w:ind w:firstLine="0" w:firstLineChars="0"/>
              <w:jc w:val="center"/>
              <w:rPr>
                <w:sz w:val="24"/>
              </w:rPr>
            </w:pPr>
          </w:p>
        </w:tc>
        <w:tc>
          <w:tcPr>
            <w:tcW w:w="249" w:type="pct"/>
            <w:vMerge w:val="continue"/>
            <w:vAlign w:val="center"/>
          </w:tcPr>
          <w:p>
            <w:pPr>
              <w:ind w:firstLine="0" w:firstLineChars="0"/>
              <w:jc w:val="center"/>
              <w:rPr>
                <w:sz w:val="24"/>
              </w:rPr>
            </w:pPr>
          </w:p>
        </w:tc>
        <w:tc>
          <w:tcPr>
            <w:tcW w:w="324" w:type="pct"/>
            <w:vAlign w:val="center"/>
          </w:tcPr>
          <w:p>
            <w:pPr>
              <w:ind w:firstLine="0" w:firstLineChars="0"/>
              <w:jc w:val="center"/>
              <w:rPr>
                <w:sz w:val="24"/>
              </w:rPr>
            </w:pPr>
            <w:r>
              <w:rPr>
                <w:sz w:val="24"/>
              </w:rPr>
              <w:t>自有</w:t>
            </w:r>
          </w:p>
        </w:tc>
        <w:tc>
          <w:tcPr>
            <w:tcW w:w="324" w:type="pct"/>
            <w:vAlign w:val="center"/>
          </w:tcPr>
          <w:p>
            <w:pPr>
              <w:ind w:firstLine="0" w:firstLineChars="0"/>
              <w:jc w:val="center"/>
              <w:rPr>
                <w:sz w:val="24"/>
              </w:rPr>
            </w:pPr>
            <w:r>
              <w:rPr>
                <w:sz w:val="24"/>
              </w:rPr>
              <w:t>新购</w:t>
            </w:r>
          </w:p>
        </w:tc>
        <w:tc>
          <w:tcPr>
            <w:tcW w:w="325" w:type="pct"/>
            <w:vAlign w:val="center"/>
          </w:tcPr>
          <w:p>
            <w:pPr>
              <w:ind w:firstLine="0" w:firstLineChars="0"/>
              <w:jc w:val="center"/>
              <w:rPr>
                <w:sz w:val="24"/>
              </w:rPr>
            </w:pPr>
            <w:r>
              <w:rPr>
                <w:sz w:val="24"/>
              </w:rPr>
              <w:t>租赁</w:t>
            </w:r>
          </w:p>
        </w:tc>
        <w:tc>
          <w:tcPr>
            <w:tcW w:w="549" w:type="pct"/>
            <w:vMerge w:val="continue"/>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ind w:firstLine="0" w:firstLineChars="0"/>
              <w:jc w:val="center"/>
              <w:rPr>
                <w:sz w:val="24"/>
              </w:rPr>
            </w:pPr>
          </w:p>
        </w:tc>
        <w:tc>
          <w:tcPr>
            <w:tcW w:w="629" w:type="pct"/>
            <w:vAlign w:val="center"/>
          </w:tcPr>
          <w:p>
            <w:pPr>
              <w:ind w:firstLine="0" w:firstLineChars="0"/>
              <w:jc w:val="center"/>
              <w:rPr>
                <w:sz w:val="24"/>
              </w:rPr>
            </w:pPr>
          </w:p>
        </w:tc>
        <w:tc>
          <w:tcPr>
            <w:tcW w:w="439" w:type="pct"/>
            <w:vAlign w:val="center"/>
          </w:tcPr>
          <w:p>
            <w:pPr>
              <w:ind w:firstLine="0" w:firstLineChars="0"/>
              <w:jc w:val="center"/>
              <w:rPr>
                <w:sz w:val="24"/>
              </w:rPr>
            </w:pPr>
          </w:p>
        </w:tc>
        <w:tc>
          <w:tcPr>
            <w:tcW w:w="388" w:type="pct"/>
            <w:vAlign w:val="center"/>
          </w:tcPr>
          <w:p>
            <w:pPr>
              <w:ind w:firstLine="0" w:firstLineChars="0"/>
              <w:jc w:val="center"/>
              <w:rPr>
                <w:sz w:val="24"/>
              </w:rPr>
            </w:pPr>
          </w:p>
        </w:tc>
        <w:tc>
          <w:tcPr>
            <w:tcW w:w="382" w:type="pct"/>
            <w:vAlign w:val="center"/>
          </w:tcPr>
          <w:p>
            <w:pPr>
              <w:ind w:firstLine="0" w:firstLineChars="0"/>
              <w:jc w:val="center"/>
              <w:rPr>
                <w:sz w:val="24"/>
              </w:rPr>
            </w:pPr>
          </w:p>
        </w:tc>
        <w:tc>
          <w:tcPr>
            <w:tcW w:w="545" w:type="pct"/>
            <w:vAlign w:val="center"/>
          </w:tcPr>
          <w:p>
            <w:pPr>
              <w:ind w:firstLine="0" w:firstLineChars="0"/>
              <w:jc w:val="center"/>
              <w:rPr>
                <w:sz w:val="24"/>
              </w:rPr>
            </w:pPr>
          </w:p>
        </w:tc>
        <w:tc>
          <w:tcPr>
            <w:tcW w:w="374" w:type="pct"/>
            <w:vAlign w:val="center"/>
          </w:tcPr>
          <w:p>
            <w:pPr>
              <w:ind w:firstLine="0" w:firstLineChars="0"/>
              <w:jc w:val="center"/>
              <w:rPr>
                <w:sz w:val="24"/>
              </w:rPr>
            </w:pPr>
          </w:p>
        </w:tc>
        <w:tc>
          <w:tcPr>
            <w:tcW w:w="249" w:type="pct"/>
            <w:shd w:val="clear" w:color="auto" w:fill="auto"/>
            <w:vAlign w:val="center"/>
          </w:tcPr>
          <w:p>
            <w:pPr>
              <w:ind w:firstLine="0" w:firstLineChars="0"/>
              <w:jc w:val="center"/>
              <w:rPr>
                <w:sz w:val="24"/>
              </w:rPr>
            </w:pPr>
          </w:p>
        </w:tc>
        <w:tc>
          <w:tcPr>
            <w:tcW w:w="324" w:type="pct"/>
            <w:shd w:val="clear" w:color="auto" w:fill="auto"/>
            <w:vAlign w:val="center"/>
          </w:tcPr>
          <w:p>
            <w:pPr>
              <w:ind w:firstLine="0" w:firstLineChars="0"/>
              <w:jc w:val="center"/>
              <w:rPr>
                <w:sz w:val="24"/>
              </w:rPr>
            </w:pPr>
          </w:p>
        </w:tc>
        <w:tc>
          <w:tcPr>
            <w:tcW w:w="324" w:type="pct"/>
            <w:shd w:val="clear" w:color="auto" w:fill="auto"/>
            <w:vAlign w:val="center"/>
          </w:tcPr>
          <w:p>
            <w:pPr>
              <w:ind w:firstLine="0" w:firstLineChars="0"/>
              <w:jc w:val="center"/>
              <w:rPr>
                <w:sz w:val="24"/>
              </w:rPr>
            </w:pPr>
          </w:p>
        </w:tc>
        <w:tc>
          <w:tcPr>
            <w:tcW w:w="325" w:type="pct"/>
            <w:shd w:val="clear" w:color="auto" w:fill="auto"/>
            <w:vAlign w:val="center"/>
          </w:tcPr>
          <w:p>
            <w:pPr>
              <w:ind w:firstLine="0" w:firstLineChars="0"/>
              <w:jc w:val="center"/>
              <w:rPr>
                <w:sz w:val="24"/>
              </w:rPr>
            </w:pPr>
          </w:p>
        </w:tc>
        <w:tc>
          <w:tcPr>
            <w:tcW w:w="549"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ind w:firstLine="0" w:firstLineChars="0"/>
              <w:jc w:val="center"/>
              <w:rPr>
                <w:sz w:val="24"/>
              </w:rPr>
            </w:pPr>
          </w:p>
        </w:tc>
        <w:tc>
          <w:tcPr>
            <w:tcW w:w="629" w:type="pct"/>
            <w:vAlign w:val="center"/>
          </w:tcPr>
          <w:p>
            <w:pPr>
              <w:ind w:firstLine="0" w:firstLineChars="0"/>
              <w:jc w:val="center"/>
              <w:rPr>
                <w:sz w:val="24"/>
              </w:rPr>
            </w:pPr>
          </w:p>
        </w:tc>
        <w:tc>
          <w:tcPr>
            <w:tcW w:w="439" w:type="pct"/>
            <w:vAlign w:val="center"/>
          </w:tcPr>
          <w:p>
            <w:pPr>
              <w:ind w:firstLine="0" w:firstLineChars="0"/>
              <w:jc w:val="center"/>
              <w:rPr>
                <w:sz w:val="24"/>
              </w:rPr>
            </w:pPr>
          </w:p>
        </w:tc>
        <w:tc>
          <w:tcPr>
            <w:tcW w:w="388" w:type="pct"/>
            <w:vAlign w:val="center"/>
          </w:tcPr>
          <w:p>
            <w:pPr>
              <w:ind w:firstLine="0" w:firstLineChars="0"/>
              <w:jc w:val="center"/>
              <w:rPr>
                <w:sz w:val="24"/>
              </w:rPr>
            </w:pPr>
          </w:p>
        </w:tc>
        <w:tc>
          <w:tcPr>
            <w:tcW w:w="382" w:type="pct"/>
            <w:vAlign w:val="center"/>
          </w:tcPr>
          <w:p>
            <w:pPr>
              <w:ind w:firstLine="0" w:firstLineChars="0"/>
              <w:jc w:val="center"/>
              <w:rPr>
                <w:sz w:val="24"/>
              </w:rPr>
            </w:pPr>
          </w:p>
        </w:tc>
        <w:tc>
          <w:tcPr>
            <w:tcW w:w="545" w:type="pct"/>
            <w:vAlign w:val="center"/>
          </w:tcPr>
          <w:p>
            <w:pPr>
              <w:ind w:firstLine="0" w:firstLineChars="0"/>
              <w:jc w:val="center"/>
              <w:rPr>
                <w:sz w:val="24"/>
              </w:rPr>
            </w:pPr>
          </w:p>
        </w:tc>
        <w:tc>
          <w:tcPr>
            <w:tcW w:w="374" w:type="pct"/>
            <w:vAlign w:val="center"/>
          </w:tcPr>
          <w:p>
            <w:pPr>
              <w:ind w:firstLine="0" w:firstLineChars="0"/>
              <w:jc w:val="center"/>
              <w:rPr>
                <w:sz w:val="24"/>
              </w:rPr>
            </w:pPr>
          </w:p>
        </w:tc>
        <w:tc>
          <w:tcPr>
            <w:tcW w:w="249" w:type="pct"/>
            <w:shd w:val="clear" w:color="auto" w:fill="auto"/>
            <w:vAlign w:val="center"/>
          </w:tcPr>
          <w:p>
            <w:pPr>
              <w:ind w:firstLine="0" w:firstLineChars="0"/>
              <w:jc w:val="center"/>
              <w:rPr>
                <w:sz w:val="24"/>
              </w:rPr>
            </w:pPr>
          </w:p>
        </w:tc>
        <w:tc>
          <w:tcPr>
            <w:tcW w:w="324" w:type="pct"/>
            <w:shd w:val="clear" w:color="auto" w:fill="auto"/>
            <w:vAlign w:val="center"/>
          </w:tcPr>
          <w:p>
            <w:pPr>
              <w:ind w:firstLine="0" w:firstLineChars="0"/>
              <w:jc w:val="center"/>
              <w:rPr>
                <w:sz w:val="24"/>
              </w:rPr>
            </w:pPr>
          </w:p>
        </w:tc>
        <w:tc>
          <w:tcPr>
            <w:tcW w:w="324" w:type="pct"/>
            <w:shd w:val="clear" w:color="auto" w:fill="auto"/>
            <w:vAlign w:val="center"/>
          </w:tcPr>
          <w:p>
            <w:pPr>
              <w:ind w:firstLine="0" w:firstLineChars="0"/>
              <w:jc w:val="center"/>
              <w:rPr>
                <w:sz w:val="24"/>
              </w:rPr>
            </w:pPr>
          </w:p>
        </w:tc>
        <w:tc>
          <w:tcPr>
            <w:tcW w:w="325" w:type="pct"/>
            <w:shd w:val="clear" w:color="auto" w:fill="auto"/>
            <w:vAlign w:val="center"/>
          </w:tcPr>
          <w:p>
            <w:pPr>
              <w:ind w:firstLine="0" w:firstLineChars="0"/>
              <w:jc w:val="center"/>
              <w:rPr>
                <w:sz w:val="24"/>
              </w:rPr>
            </w:pPr>
          </w:p>
        </w:tc>
        <w:tc>
          <w:tcPr>
            <w:tcW w:w="549"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ind w:firstLine="0" w:firstLineChars="0"/>
              <w:jc w:val="center"/>
              <w:rPr>
                <w:sz w:val="24"/>
              </w:rPr>
            </w:pPr>
          </w:p>
        </w:tc>
        <w:tc>
          <w:tcPr>
            <w:tcW w:w="629" w:type="pct"/>
          </w:tcPr>
          <w:p>
            <w:pPr>
              <w:ind w:firstLine="0" w:firstLineChars="0"/>
              <w:jc w:val="center"/>
              <w:rPr>
                <w:sz w:val="24"/>
              </w:rPr>
            </w:pPr>
          </w:p>
        </w:tc>
        <w:tc>
          <w:tcPr>
            <w:tcW w:w="439" w:type="pct"/>
          </w:tcPr>
          <w:p>
            <w:pPr>
              <w:ind w:firstLine="0" w:firstLineChars="0"/>
              <w:jc w:val="center"/>
              <w:rPr>
                <w:sz w:val="24"/>
              </w:rPr>
            </w:pPr>
          </w:p>
        </w:tc>
        <w:tc>
          <w:tcPr>
            <w:tcW w:w="388" w:type="pct"/>
          </w:tcPr>
          <w:p>
            <w:pPr>
              <w:ind w:firstLine="0" w:firstLineChars="0"/>
              <w:jc w:val="center"/>
              <w:rPr>
                <w:sz w:val="24"/>
              </w:rPr>
            </w:pPr>
          </w:p>
        </w:tc>
        <w:tc>
          <w:tcPr>
            <w:tcW w:w="382" w:type="pct"/>
          </w:tcPr>
          <w:p>
            <w:pPr>
              <w:ind w:firstLine="0" w:firstLineChars="0"/>
              <w:jc w:val="center"/>
              <w:rPr>
                <w:sz w:val="24"/>
              </w:rPr>
            </w:pPr>
          </w:p>
        </w:tc>
        <w:tc>
          <w:tcPr>
            <w:tcW w:w="545" w:type="pct"/>
          </w:tcPr>
          <w:p>
            <w:pPr>
              <w:ind w:firstLine="0" w:firstLineChars="0"/>
              <w:jc w:val="center"/>
              <w:rPr>
                <w:sz w:val="24"/>
              </w:rPr>
            </w:pPr>
          </w:p>
        </w:tc>
        <w:tc>
          <w:tcPr>
            <w:tcW w:w="374" w:type="pct"/>
          </w:tcPr>
          <w:p>
            <w:pPr>
              <w:ind w:firstLine="0" w:firstLineChars="0"/>
              <w:jc w:val="center"/>
              <w:rPr>
                <w:sz w:val="24"/>
              </w:rPr>
            </w:pPr>
          </w:p>
        </w:tc>
        <w:tc>
          <w:tcPr>
            <w:tcW w:w="249"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4" w:type="pct"/>
            <w:shd w:val="clear" w:color="auto" w:fill="auto"/>
          </w:tcPr>
          <w:p>
            <w:pPr>
              <w:ind w:firstLine="0" w:firstLineChars="0"/>
              <w:jc w:val="center"/>
              <w:rPr>
                <w:sz w:val="24"/>
              </w:rPr>
            </w:pPr>
          </w:p>
        </w:tc>
        <w:tc>
          <w:tcPr>
            <w:tcW w:w="325" w:type="pct"/>
            <w:shd w:val="clear" w:color="auto" w:fill="auto"/>
          </w:tcPr>
          <w:p>
            <w:pPr>
              <w:ind w:firstLine="0" w:firstLineChars="0"/>
              <w:jc w:val="center"/>
              <w:rPr>
                <w:sz w:val="24"/>
              </w:rPr>
            </w:pPr>
          </w:p>
        </w:tc>
        <w:tc>
          <w:tcPr>
            <w:tcW w:w="549" w:type="pct"/>
          </w:tcPr>
          <w:p>
            <w:pPr>
              <w:ind w:firstLine="0" w:firstLineChars="0"/>
              <w:jc w:val="center"/>
              <w:rPr>
                <w:sz w:val="24"/>
              </w:rPr>
            </w:pPr>
          </w:p>
        </w:tc>
      </w:tr>
    </w:tbl>
    <w:p>
      <w:pPr>
        <w:ind w:firstLine="0" w:firstLineChars="0"/>
        <w:rPr>
          <w:bCs/>
          <w:kern w:val="0"/>
          <w:sz w:val="24"/>
        </w:rPr>
      </w:pPr>
      <w:r>
        <w:rPr>
          <w:sz w:val="24"/>
        </w:rPr>
        <w:t>注：本表填报的设备应满足招标文件第二章</w:t>
      </w:r>
      <w:r>
        <w:rPr>
          <w:rFonts w:hint="eastAsia" w:ascii="宋体" w:hAnsi="宋体" w:cs="宋体"/>
          <w:sz w:val="24"/>
        </w:rPr>
        <w:t>“投标人须知”</w:t>
      </w:r>
      <w:r>
        <w:rPr>
          <w:sz w:val="24"/>
        </w:rPr>
        <w:t>前附表附录7的要求。</w:t>
      </w:r>
    </w:p>
    <w:p>
      <w:pPr>
        <w:ind w:firstLine="0" w:firstLineChars="0"/>
        <w:rPr>
          <w:sz w:val="24"/>
        </w:rPr>
      </w:pPr>
    </w:p>
    <w:p>
      <w:pPr>
        <w:widowControl/>
        <w:ind w:firstLine="0" w:firstLineChars="0"/>
        <w:jc w:val="left"/>
        <w:rPr>
          <w:sz w:val="24"/>
        </w:rPr>
      </w:pPr>
      <w:r>
        <w:rPr>
          <w:sz w:val="24"/>
        </w:rPr>
        <w:br w:type="page"/>
      </w:r>
    </w:p>
    <w:p>
      <w:pPr>
        <w:spacing w:beforeLines="100" w:afterLines="100"/>
        <w:ind w:firstLine="0" w:firstLineChars="0"/>
        <w:jc w:val="center"/>
        <w:outlineLvl w:val="3"/>
        <w:rPr>
          <w:rFonts w:ascii="黑体" w:hAnsi="黑体" w:eastAsia="黑体" w:cs="黑体"/>
          <w:bCs/>
          <w:kern w:val="44"/>
          <w:sz w:val="24"/>
        </w:rPr>
      </w:pPr>
      <w:r>
        <w:rPr>
          <w:rFonts w:hint="eastAsia" w:ascii="黑体" w:hAnsi="黑体" w:eastAsia="黑体" w:cs="黑体"/>
          <w:bCs/>
          <w:kern w:val="0"/>
          <w:sz w:val="24"/>
        </w:rPr>
        <w:t>（十一）拟配备本标段的主要材料试验、测量、质检仪器设备表</w:t>
      </w:r>
    </w:p>
    <w:tbl>
      <w:tblPr>
        <w:tblStyle w:val="56"/>
        <w:tblpPr w:leftFromText="180" w:rightFromText="180" w:vertAnchor="text" w:horzAnchor="page" w:tblpX="1545" w:tblpY="396"/>
        <w:tblOverlap w:val="never"/>
        <w:tblW w:w="48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9"/>
        <w:gridCol w:w="985"/>
        <w:gridCol w:w="973"/>
        <w:gridCol w:w="983"/>
        <w:gridCol w:w="983"/>
        <w:gridCol w:w="1622"/>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ind w:firstLine="0" w:firstLineChars="0"/>
              <w:jc w:val="center"/>
              <w:rPr>
                <w:sz w:val="24"/>
              </w:rPr>
            </w:pPr>
            <w:r>
              <w:rPr>
                <w:sz w:val="24"/>
              </w:rPr>
              <w:t>序号</w:t>
            </w:r>
          </w:p>
        </w:tc>
        <w:tc>
          <w:tcPr>
            <w:tcW w:w="928" w:type="pct"/>
            <w:vAlign w:val="center"/>
          </w:tcPr>
          <w:p>
            <w:pPr>
              <w:ind w:firstLine="0" w:firstLineChars="0"/>
              <w:jc w:val="center"/>
              <w:rPr>
                <w:sz w:val="24"/>
              </w:rPr>
            </w:pPr>
            <w:r>
              <w:rPr>
                <w:sz w:val="24"/>
              </w:rPr>
              <w:t>仪器设备名称</w:t>
            </w:r>
          </w:p>
        </w:tc>
        <w:tc>
          <w:tcPr>
            <w:tcW w:w="590" w:type="pct"/>
            <w:vAlign w:val="center"/>
          </w:tcPr>
          <w:p>
            <w:pPr>
              <w:ind w:firstLine="0" w:firstLineChars="0"/>
              <w:jc w:val="center"/>
              <w:rPr>
                <w:sz w:val="24"/>
              </w:rPr>
            </w:pPr>
            <w:r>
              <w:rPr>
                <w:sz w:val="24"/>
              </w:rPr>
              <w:t>型号规格</w:t>
            </w:r>
          </w:p>
        </w:tc>
        <w:tc>
          <w:tcPr>
            <w:tcW w:w="583" w:type="pct"/>
            <w:vAlign w:val="center"/>
          </w:tcPr>
          <w:p>
            <w:pPr>
              <w:ind w:firstLine="0" w:firstLineChars="0"/>
              <w:jc w:val="center"/>
              <w:rPr>
                <w:sz w:val="24"/>
              </w:rPr>
            </w:pPr>
            <w:r>
              <w:rPr>
                <w:sz w:val="24"/>
              </w:rPr>
              <w:t>数量</w:t>
            </w:r>
          </w:p>
        </w:tc>
        <w:tc>
          <w:tcPr>
            <w:tcW w:w="589" w:type="pct"/>
            <w:vAlign w:val="center"/>
          </w:tcPr>
          <w:p>
            <w:pPr>
              <w:ind w:firstLine="0" w:firstLineChars="0"/>
              <w:jc w:val="center"/>
              <w:rPr>
                <w:sz w:val="24"/>
              </w:rPr>
            </w:pPr>
            <w:r>
              <w:rPr>
                <w:sz w:val="24"/>
              </w:rPr>
              <w:t>国别产地</w:t>
            </w:r>
          </w:p>
        </w:tc>
        <w:tc>
          <w:tcPr>
            <w:tcW w:w="589" w:type="pct"/>
            <w:vAlign w:val="center"/>
          </w:tcPr>
          <w:p>
            <w:pPr>
              <w:ind w:firstLine="0" w:firstLineChars="0"/>
              <w:jc w:val="center"/>
              <w:rPr>
                <w:sz w:val="24"/>
              </w:rPr>
            </w:pPr>
            <w:r>
              <w:rPr>
                <w:sz w:val="24"/>
              </w:rPr>
              <w:t>制造年份</w:t>
            </w:r>
          </w:p>
        </w:tc>
        <w:tc>
          <w:tcPr>
            <w:tcW w:w="971" w:type="pct"/>
            <w:vAlign w:val="center"/>
          </w:tcPr>
          <w:p>
            <w:pPr>
              <w:ind w:firstLine="0" w:firstLineChars="0"/>
              <w:jc w:val="center"/>
              <w:rPr>
                <w:sz w:val="24"/>
              </w:rPr>
            </w:pPr>
            <w:r>
              <w:rPr>
                <w:sz w:val="24"/>
              </w:rPr>
              <w:t>用途</w:t>
            </w:r>
          </w:p>
        </w:tc>
        <w:tc>
          <w:tcPr>
            <w:tcW w:w="400" w:type="pct"/>
            <w:vAlign w:val="center"/>
          </w:tcPr>
          <w:p>
            <w:pPr>
              <w:ind w:firstLine="0" w:firstLineChars="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ind w:firstLine="0" w:firstLineChars="0"/>
              <w:jc w:val="center"/>
              <w:rPr>
                <w:sz w:val="24"/>
              </w:rPr>
            </w:pPr>
          </w:p>
        </w:tc>
        <w:tc>
          <w:tcPr>
            <w:tcW w:w="928" w:type="pct"/>
            <w:vAlign w:val="center"/>
          </w:tcPr>
          <w:p>
            <w:pPr>
              <w:ind w:firstLine="0" w:firstLineChars="0"/>
              <w:jc w:val="center"/>
              <w:rPr>
                <w:sz w:val="24"/>
              </w:rPr>
            </w:pPr>
          </w:p>
        </w:tc>
        <w:tc>
          <w:tcPr>
            <w:tcW w:w="590" w:type="pct"/>
            <w:vAlign w:val="center"/>
          </w:tcPr>
          <w:p>
            <w:pPr>
              <w:ind w:firstLine="0" w:firstLineChars="0"/>
              <w:jc w:val="center"/>
              <w:rPr>
                <w:sz w:val="24"/>
              </w:rPr>
            </w:pPr>
          </w:p>
        </w:tc>
        <w:tc>
          <w:tcPr>
            <w:tcW w:w="583" w:type="pct"/>
            <w:vAlign w:val="center"/>
          </w:tcPr>
          <w:p>
            <w:pPr>
              <w:ind w:firstLine="0" w:firstLineChars="0"/>
              <w:jc w:val="center"/>
              <w:rPr>
                <w:sz w:val="24"/>
              </w:rPr>
            </w:pPr>
          </w:p>
        </w:tc>
        <w:tc>
          <w:tcPr>
            <w:tcW w:w="589" w:type="pct"/>
            <w:vAlign w:val="center"/>
          </w:tcPr>
          <w:p>
            <w:pPr>
              <w:ind w:firstLine="0" w:firstLineChars="0"/>
              <w:jc w:val="center"/>
              <w:rPr>
                <w:sz w:val="24"/>
              </w:rPr>
            </w:pPr>
          </w:p>
        </w:tc>
        <w:tc>
          <w:tcPr>
            <w:tcW w:w="589" w:type="pct"/>
            <w:vAlign w:val="center"/>
          </w:tcPr>
          <w:p>
            <w:pPr>
              <w:ind w:firstLine="0" w:firstLineChars="0"/>
              <w:jc w:val="center"/>
              <w:rPr>
                <w:sz w:val="24"/>
              </w:rPr>
            </w:pPr>
          </w:p>
        </w:tc>
        <w:tc>
          <w:tcPr>
            <w:tcW w:w="971" w:type="pct"/>
            <w:vAlign w:val="center"/>
          </w:tcPr>
          <w:p>
            <w:pPr>
              <w:ind w:firstLine="0" w:firstLineChars="0"/>
              <w:jc w:val="center"/>
              <w:rPr>
                <w:sz w:val="24"/>
              </w:rPr>
            </w:pPr>
          </w:p>
        </w:tc>
        <w:tc>
          <w:tcPr>
            <w:tcW w:w="400"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ind w:firstLine="0" w:firstLineChars="0"/>
              <w:jc w:val="center"/>
              <w:rPr>
                <w:sz w:val="24"/>
              </w:rPr>
            </w:pPr>
          </w:p>
        </w:tc>
        <w:tc>
          <w:tcPr>
            <w:tcW w:w="928" w:type="pct"/>
            <w:vAlign w:val="center"/>
          </w:tcPr>
          <w:p>
            <w:pPr>
              <w:ind w:firstLine="0" w:firstLineChars="0"/>
              <w:jc w:val="center"/>
              <w:rPr>
                <w:sz w:val="24"/>
              </w:rPr>
            </w:pPr>
          </w:p>
        </w:tc>
        <w:tc>
          <w:tcPr>
            <w:tcW w:w="590" w:type="pct"/>
            <w:vAlign w:val="center"/>
          </w:tcPr>
          <w:p>
            <w:pPr>
              <w:ind w:firstLine="0" w:firstLineChars="0"/>
              <w:jc w:val="center"/>
              <w:rPr>
                <w:sz w:val="24"/>
              </w:rPr>
            </w:pPr>
          </w:p>
        </w:tc>
        <w:tc>
          <w:tcPr>
            <w:tcW w:w="583" w:type="pct"/>
            <w:vAlign w:val="center"/>
          </w:tcPr>
          <w:p>
            <w:pPr>
              <w:ind w:firstLine="0" w:firstLineChars="0"/>
              <w:jc w:val="center"/>
              <w:rPr>
                <w:sz w:val="24"/>
              </w:rPr>
            </w:pPr>
          </w:p>
        </w:tc>
        <w:tc>
          <w:tcPr>
            <w:tcW w:w="589" w:type="pct"/>
            <w:vAlign w:val="center"/>
          </w:tcPr>
          <w:p>
            <w:pPr>
              <w:ind w:firstLine="0" w:firstLineChars="0"/>
              <w:jc w:val="center"/>
              <w:rPr>
                <w:sz w:val="24"/>
              </w:rPr>
            </w:pPr>
          </w:p>
        </w:tc>
        <w:tc>
          <w:tcPr>
            <w:tcW w:w="589" w:type="pct"/>
            <w:vAlign w:val="center"/>
          </w:tcPr>
          <w:p>
            <w:pPr>
              <w:ind w:firstLine="0" w:firstLineChars="0"/>
              <w:jc w:val="center"/>
              <w:rPr>
                <w:sz w:val="24"/>
              </w:rPr>
            </w:pPr>
          </w:p>
        </w:tc>
        <w:tc>
          <w:tcPr>
            <w:tcW w:w="971" w:type="pct"/>
            <w:vAlign w:val="center"/>
          </w:tcPr>
          <w:p>
            <w:pPr>
              <w:ind w:firstLine="0" w:firstLineChars="0"/>
              <w:jc w:val="center"/>
              <w:rPr>
                <w:sz w:val="24"/>
              </w:rPr>
            </w:pPr>
          </w:p>
        </w:tc>
        <w:tc>
          <w:tcPr>
            <w:tcW w:w="400" w:type="pct"/>
            <w:vAlign w:val="center"/>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ind w:firstLine="0" w:firstLineChars="0"/>
              <w:jc w:val="center"/>
              <w:rPr>
                <w:sz w:val="24"/>
              </w:rPr>
            </w:pPr>
          </w:p>
        </w:tc>
        <w:tc>
          <w:tcPr>
            <w:tcW w:w="928" w:type="pct"/>
          </w:tcPr>
          <w:p>
            <w:pPr>
              <w:ind w:firstLine="0" w:firstLineChars="0"/>
              <w:jc w:val="center"/>
              <w:rPr>
                <w:sz w:val="24"/>
              </w:rPr>
            </w:pPr>
          </w:p>
        </w:tc>
        <w:tc>
          <w:tcPr>
            <w:tcW w:w="590" w:type="pct"/>
          </w:tcPr>
          <w:p>
            <w:pPr>
              <w:ind w:firstLine="0" w:firstLineChars="0"/>
              <w:jc w:val="center"/>
              <w:rPr>
                <w:sz w:val="24"/>
              </w:rPr>
            </w:pPr>
          </w:p>
        </w:tc>
        <w:tc>
          <w:tcPr>
            <w:tcW w:w="583" w:type="pct"/>
          </w:tcPr>
          <w:p>
            <w:pPr>
              <w:ind w:firstLine="0" w:firstLineChars="0"/>
              <w:jc w:val="center"/>
              <w:rPr>
                <w:sz w:val="24"/>
              </w:rPr>
            </w:pPr>
          </w:p>
        </w:tc>
        <w:tc>
          <w:tcPr>
            <w:tcW w:w="589" w:type="pct"/>
          </w:tcPr>
          <w:p>
            <w:pPr>
              <w:ind w:firstLine="0" w:firstLineChars="0"/>
              <w:jc w:val="center"/>
              <w:rPr>
                <w:sz w:val="24"/>
              </w:rPr>
            </w:pPr>
          </w:p>
        </w:tc>
        <w:tc>
          <w:tcPr>
            <w:tcW w:w="589" w:type="pct"/>
          </w:tcPr>
          <w:p>
            <w:pPr>
              <w:ind w:firstLine="0" w:firstLineChars="0"/>
              <w:jc w:val="center"/>
              <w:rPr>
                <w:sz w:val="24"/>
              </w:rPr>
            </w:pPr>
          </w:p>
        </w:tc>
        <w:tc>
          <w:tcPr>
            <w:tcW w:w="971" w:type="pct"/>
          </w:tcPr>
          <w:p>
            <w:pPr>
              <w:ind w:firstLine="0" w:firstLineChars="0"/>
              <w:jc w:val="center"/>
              <w:rPr>
                <w:sz w:val="24"/>
              </w:rPr>
            </w:pPr>
          </w:p>
        </w:tc>
        <w:tc>
          <w:tcPr>
            <w:tcW w:w="400" w:type="pct"/>
          </w:tcPr>
          <w:p>
            <w:pPr>
              <w:ind w:firstLine="0" w:firstLineChars="0"/>
              <w:jc w:val="center"/>
              <w:rPr>
                <w:sz w:val="24"/>
              </w:rPr>
            </w:pPr>
          </w:p>
        </w:tc>
      </w:tr>
    </w:tbl>
    <w:p>
      <w:pPr>
        <w:spacing w:line="360" w:lineRule="auto"/>
        <w:ind w:firstLineChars="0"/>
        <w:rPr>
          <w:sz w:val="24"/>
        </w:rPr>
      </w:pPr>
    </w:p>
    <w:p>
      <w:pPr>
        <w:spacing w:line="360" w:lineRule="auto"/>
        <w:ind w:left="840" w:hanging="840" w:hangingChars="350"/>
        <w:rPr>
          <w:sz w:val="24"/>
        </w:rPr>
      </w:pPr>
      <w:r>
        <w:rPr>
          <w:sz w:val="24"/>
        </w:rPr>
        <w:t>注：本表填报的设备应满足招标文件第二章</w:t>
      </w:r>
      <w:r>
        <w:rPr>
          <w:rFonts w:hint="eastAsia" w:ascii="宋体" w:hAnsi="宋体" w:cs="宋体"/>
          <w:sz w:val="24"/>
        </w:rPr>
        <w:t>“投标人须知”</w:t>
      </w:r>
      <w:r>
        <w:rPr>
          <w:sz w:val="24"/>
        </w:rPr>
        <w:t>前附表附录7的要求。</w:t>
      </w:r>
    </w:p>
    <w:p>
      <w:pPr>
        <w:widowControl/>
        <w:spacing w:line="360" w:lineRule="auto"/>
        <w:ind w:firstLineChars="0"/>
        <w:jc w:val="left"/>
        <w:rPr>
          <w:sz w:val="24"/>
        </w:rPr>
      </w:pPr>
      <w:r>
        <w:rPr>
          <w:sz w:val="24"/>
        </w:rPr>
        <w:br w:type="page"/>
      </w:r>
    </w:p>
    <w:p>
      <w:pPr>
        <w:keepNext/>
        <w:keepLines/>
        <w:spacing w:beforeLines="100" w:afterLines="100"/>
        <w:ind w:firstLine="0" w:firstLineChars="0"/>
        <w:jc w:val="center"/>
        <w:outlineLvl w:val="2"/>
        <w:rPr>
          <w:rFonts w:eastAsia="黑体"/>
          <w:bCs/>
          <w:sz w:val="24"/>
          <w:szCs w:val="32"/>
        </w:rPr>
      </w:pPr>
      <w:bookmarkStart w:id="741" w:name="_Toc14980"/>
      <w:bookmarkStart w:id="742" w:name="_Toc12604"/>
      <w:bookmarkStart w:id="743" w:name="_Toc14438"/>
      <w:bookmarkStart w:id="744" w:name="_Toc14457"/>
      <w:bookmarkStart w:id="745" w:name="_Toc21217"/>
      <w:bookmarkStart w:id="746" w:name="_Toc2170"/>
      <w:bookmarkStart w:id="747" w:name="_Toc138689464"/>
      <w:r>
        <w:rPr>
          <w:rFonts w:hint="eastAsia" w:eastAsia="黑体"/>
          <w:bCs/>
          <w:sz w:val="24"/>
          <w:szCs w:val="32"/>
        </w:rPr>
        <w:t>八、商务文件详细评审资料</w:t>
      </w:r>
      <w:bookmarkEnd w:id="741"/>
      <w:bookmarkEnd w:id="742"/>
      <w:bookmarkEnd w:id="743"/>
      <w:bookmarkEnd w:id="744"/>
      <w:bookmarkEnd w:id="745"/>
      <w:bookmarkEnd w:id="746"/>
      <w:r>
        <w:rPr>
          <w:rFonts w:hint="eastAsia" w:eastAsia="黑体"/>
          <w:bCs/>
          <w:sz w:val="24"/>
          <w:szCs w:val="32"/>
        </w:rPr>
        <w:t>（如有）</w:t>
      </w:r>
      <w:bookmarkEnd w:id="747"/>
    </w:p>
    <w:p>
      <w:pPr>
        <w:spacing w:beforeLines="100" w:afterLines="100"/>
        <w:ind w:firstLine="0" w:firstLineChars="0"/>
        <w:jc w:val="center"/>
        <w:outlineLvl w:val="3"/>
        <w:rPr>
          <w:rFonts w:eastAsia="黑体"/>
          <w:bCs/>
          <w:sz w:val="24"/>
        </w:rPr>
      </w:pPr>
      <w:bookmarkStart w:id="748" w:name="_Toc23684"/>
      <w:bookmarkStart w:id="749" w:name="_Toc2001"/>
      <w:bookmarkStart w:id="750" w:name="_Toc2365"/>
      <w:bookmarkStart w:id="751" w:name="_Toc1400"/>
      <w:bookmarkStart w:id="752" w:name="_Toc8624"/>
      <w:bookmarkStart w:id="753" w:name="_Toc20569"/>
      <w:bookmarkStart w:id="754" w:name="_Toc7297"/>
      <w:bookmarkStart w:id="755" w:name="_Toc13928"/>
      <w:r>
        <w:rPr>
          <w:rFonts w:hint="eastAsia" w:eastAsia="黑体"/>
          <w:bCs/>
          <w:sz w:val="24"/>
        </w:rPr>
        <w:t>（一）投标人近年完成的类似项目情况表（详细评审）</w:t>
      </w:r>
    </w:p>
    <w:tbl>
      <w:tblPr>
        <w:tblStyle w:val="5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5156"/>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noWrap/>
            <w:vAlign w:val="center"/>
          </w:tcPr>
          <w:p>
            <w:pPr>
              <w:spacing w:line="360" w:lineRule="auto"/>
              <w:ind w:firstLine="0" w:firstLineChars="0"/>
              <w:rPr>
                <w:b/>
                <w:sz w:val="24"/>
              </w:rPr>
            </w:pPr>
            <w:r>
              <w:rPr>
                <w:rFonts w:hint="eastAsia"/>
                <w:b/>
                <w:sz w:val="24"/>
              </w:rPr>
              <w:t>业绩序号</w:t>
            </w:r>
          </w:p>
        </w:tc>
        <w:tc>
          <w:tcPr>
            <w:tcW w:w="3027" w:type="pct"/>
            <w:noWrap/>
            <w:vAlign w:val="center"/>
          </w:tcPr>
          <w:p>
            <w:pPr>
              <w:spacing w:line="360" w:lineRule="auto"/>
              <w:ind w:firstLine="482"/>
              <w:jc w:val="center"/>
              <w:rPr>
                <w:b/>
                <w:sz w:val="24"/>
              </w:rPr>
            </w:pPr>
            <w:r>
              <w:rPr>
                <w:rFonts w:hint="eastAsia"/>
                <w:b/>
                <w:sz w:val="24"/>
              </w:rPr>
              <w:t>项目</w:t>
            </w:r>
            <w:r>
              <w:rPr>
                <w:b/>
                <w:sz w:val="24"/>
              </w:rPr>
              <w:t>名称</w:t>
            </w:r>
            <w:r>
              <w:rPr>
                <w:rFonts w:hint="eastAsia"/>
                <w:b/>
                <w:sz w:val="24"/>
              </w:rPr>
              <w:t>（合同名称）</w:t>
            </w:r>
          </w:p>
        </w:tc>
        <w:tc>
          <w:tcPr>
            <w:tcW w:w="1040" w:type="pct"/>
            <w:noWrap/>
            <w:vAlign w:val="center"/>
          </w:tcPr>
          <w:p>
            <w:pPr>
              <w:spacing w:line="360" w:lineRule="auto"/>
              <w:ind w:firstLine="482"/>
              <w:jc w:val="center"/>
              <w:rPr>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noWrap/>
            <w:vAlign w:val="center"/>
          </w:tcPr>
          <w:p>
            <w:pPr>
              <w:spacing w:line="360" w:lineRule="auto"/>
              <w:ind w:firstLine="480"/>
              <w:jc w:val="center"/>
              <w:rPr>
                <w:sz w:val="24"/>
              </w:rPr>
            </w:pPr>
            <w:r>
              <w:rPr>
                <w:rFonts w:hint="eastAsia"/>
                <w:sz w:val="24"/>
              </w:rPr>
              <w:t>1</w:t>
            </w:r>
          </w:p>
        </w:tc>
        <w:tc>
          <w:tcPr>
            <w:tcW w:w="3027" w:type="pct"/>
            <w:noWrap/>
            <w:vAlign w:val="center"/>
          </w:tcPr>
          <w:p>
            <w:pPr>
              <w:spacing w:line="360" w:lineRule="auto"/>
              <w:ind w:firstLine="480"/>
              <w:jc w:val="center"/>
              <w:rPr>
                <w:sz w:val="24"/>
              </w:rPr>
            </w:pPr>
          </w:p>
        </w:tc>
        <w:tc>
          <w:tcPr>
            <w:tcW w:w="1040"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noWrap/>
            <w:vAlign w:val="center"/>
          </w:tcPr>
          <w:p>
            <w:pPr>
              <w:spacing w:line="360" w:lineRule="auto"/>
              <w:ind w:firstLine="480"/>
              <w:jc w:val="center"/>
              <w:rPr>
                <w:sz w:val="24"/>
              </w:rPr>
            </w:pPr>
            <w:r>
              <w:rPr>
                <w:rFonts w:hint="eastAsia"/>
                <w:sz w:val="24"/>
              </w:rPr>
              <w:t>2</w:t>
            </w:r>
          </w:p>
        </w:tc>
        <w:tc>
          <w:tcPr>
            <w:tcW w:w="3027" w:type="pct"/>
            <w:noWrap/>
            <w:vAlign w:val="center"/>
          </w:tcPr>
          <w:p>
            <w:pPr>
              <w:spacing w:line="360" w:lineRule="auto"/>
              <w:ind w:firstLine="480"/>
              <w:jc w:val="center"/>
              <w:rPr>
                <w:sz w:val="24"/>
              </w:rPr>
            </w:pPr>
          </w:p>
        </w:tc>
        <w:tc>
          <w:tcPr>
            <w:tcW w:w="1040"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noWrap/>
            <w:vAlign w:val="center"/>
          </w:tcPr>
          <w:p>
            <w:pPr>
              <w:spacing w:line="360" w:lineRule="auto"/>
              <w:ind w:firstLine="480"/>
              <w:jc w:val="center"/>
              <w:rPr>
                <w:sz w:val="24"/>
              </w:rPr>
            </w:pPr>
            <w:r>
              <w:rPr>
                <w:rFonts w:hint="eastAsia"/>
                <w:sz w:val="24"/>
              </w:rPr>
              <w:t>……</w:t>
            </w:r>
          </w:p>
        </w:tc>
        <w:tc>
          <w:tcPr>
            <w:tcW w:w="3027" w:type="pct"/>
            <w:noWrap/>
            <w:vAlign w:val="center"/>
          </w:tcPr>
          <w:p>
            <w:pPr>
              <w:spacing w:line="360" w:lineRule="auto"/>
              <w:ind w:firstLine="480"/>
              <w:jc w:val="center"/>
              <w:rPr>
                <w:sz w:val="24"/>
              </w:rPr>
            </w:pPr>
          </w:p>
        </w:tc>
        <w:tc>
          <w:tcPr>
            <w:tcW w:w="1040" w:type="pct"/>
            <w:noWrap/>
            <w:vAlign w:val="center"/>
          </w:tcPr>
          <w:p>
            <w:pPr>
              <w:spacing w:line="360" w:lineRule="auto"/>
              <w:ind w:firstLine="480"/>
              <w:jc w:val="center"/>
              <w:rPr>
                <w:sz w:val="24"/>
              </w:rPr>
            </w:pPr>
          </w:p>
        </w:tc>
      </w:tr>
    </w:tbl>
    <w:p>
      <w:pPr>
        <w:spacing w:line="360" w:lineRule="auto"/>
        <w:ind w:firstLine="480"/>
        <w:rPr>
          <w:sz w:val="24"/>
        </w:rPr>
      </w:pPr>
      <w:r>
        <w:rPr>
          <w:rFonts w:hint="eastAsia"/>
          <w:sz w:val="24"/>
        </w:rPr>
        <w:t>注：</w:t>
      </w:r>
    </w:p>
    <w:p>
      <w:pPr>
        <w:spacing w:line="360" w:lineRule="auto"/>
        <w:ind w:firstLine="480"/>
        <w:rPr>
          <w:sz w:val="24"/>
        </w:rPr>
      </w:pPr>
      <w:r>
        <w:rPr>
          <w:rFonts w:hint="eastAsia"/>
          <w:sz w:val="24"/>
        </w:rPr>
        <w:t>1.投标人应将用于商务文件详细评审的业绩在上表中列明，按照列明</w:t>
      </w:r>
      <w:r>
        <w:rPr>
          <w:sz w:val="24"/>
        </w:rPr>
        <w:t>的</w:t>
      </w:r>
      <w:r>
        <w:rPr>
          <w:rFonts w:hint="eastAsia"/>
          <w:sz w:val="24"/>
        </w:rPr>
        <w:t>业绩序号先后</w:t>
      </w:r>
      <w:r>
        <w:rPr>
          <w:sz w:val="24"/>
        </w:rPr>
        <w:t>顺序</w:t>
      </w:r>
      <w:r>
        <w:rPr>
          <w:rFonts w:hint="eastAsia"/>
          <w:sz w:val="24"/>
        </w:rPr>
        <w:t>依次填写“投标人近年完成的类似项目信息</w:t>
      </w:r>
      <w:r>
        <w:rPr>
          <w:sz w:val="24"/>
        </w:rPr>
        <w:t>表</w:t>
      </w:r>
      <w:r>
        <w:rPr>
          <w:rFonts w:hint="eastAsia"/>
          <w:sz w:val="24"/>
        </w:rPr>
        <w:t>（详细评审）”，并附相应业绩证明材料。</w:t>
      </w:r>
    </w:p>
    <w:p>
      <w:pPr>
        <w:spacing w:line="360" w:lineRule="auto"/>
        <w:ind w:firstLine="480"/>
        <w:rPr>
          <w:sz w:val="24"/>
        </w:rPr>
      </w:pPr>
      <w:r>
        <w:rPr>
          <w:rFonts w:hint="eastAsia"/>
          <w:sz w:val="24"/>
        </w:rPr>
        <w:t>2.评标</w:t>
      </w:r>
      <w:r>
        <w:rPr>
          <w:sz w:val="24"/>
        </w:rPr>
        <w:t>委员会应当按照上表</w:t>
      </w:r>
      <w:r>
        <w:rPr>
          <w:rFonts w:hint="eastAsia"/>
          <w:sz w:val="24"/>
        </w:rPr>
        <w:t>列明</w:t>
      </w:r>
      <w:r>
        <w:rPr>
          <w:sz w:val="24"/>
        </w:rPr>
        <w:t>的</w:t>
      </w:r>
      <w:r>
        <w:rPr>
          <w:rFonts w:hint="eastAsia"/>
          <w:sz w:val="24"/>
        </w:rPr>
        <w:t>业绩序号先后</w:t>
      </w:r>
      <w:r>
        <w:rPr>
          <w:sz w:val="24"/>
        </w:rPr>
        <w:t>顺序</w:t>
      </w:r>
      <w:r>
        <w:rPr>
          <w:rFonts w:hint="eastAsia"/>
          <w:sz w:val="24"/>
        </w:rPr>
        <w:t>依次</w:t>
      </w:r>
      <w:r>
        <w:rPr>
          <w:sz w:val="24"/>
        </w:rPr>
        <w:t>进行评审，</w:t>
      </w:r>
      <w:r>
        <w:rPr>
          <w:rFonts w:hint="eastAsia"/>
          <w:sz w:val="24"/>
        </w:rPr>
        <w:t>且仅评审标准规定数量的业绩，超出规定数量部分或未在上表列明的业绩均不作为商务文件详细评审投标人业绩予以评审。</w:t>
      </w:r>
    </w:p>
    <w:p>
      <w:pPr>
        <w:tabs>
          <w:tab w:val="left" w:pos="8422"/>
          <w:tab w:val="left" w:pos="9622"/>
        </w:tabs>
        <w:spacing w:line="360" w:lineRule="auto"/>
        <w:ind w:left="4200" w:leftChars="2000" w:right="105" w:rightChars="50" w:firstLine="480"/>
        <w:jc w:val="left"/>
        <w:rPr>
          <w:sz w:val="24"/>
        </w:rPr>
      </w:pPr>
    </w:p>
    <w:p>
      <w:pPr>
        <w:adjustRightInd w:val="0"/>
        <w:snapToGrid w:val="0"/>
        <w:spacing w:line="360" w:lineRule="auto"/>
        <w:ind w:firstLine="960"/>
        <w:jc w:val="right"/>
        <w:rPr>
          <w:bCs/>
          <w:sz w:val="24"/>
          <w:szCs w:val="21"/>
          <w:u w:val="single"/>
        </w:rPr>
      </w:pPr>
      <w:r>
        <w:rPr>
          <w:rFonts w:hint="eastAsia"/>
          <w:bCs/>
          <w:spacing w:val="120"/>
          <w:kern w:val="0"/>
          <w:sz w:val="24"/>
          <w:szCs w:val="21"/>
          <w:fitText w:val="1200" w:id="-1231309306"/>
        </w:rPr>
        <w:t>投标</w:t>
      </w:r>
      <w:r>
        <w:rPr>
          <w:rFonts w:hint="eastAsia"/>
          <w:bCs/>
          <w:spacing w:val="0"/>
          <w:kern w:val="0"/>
          <w:sz w:val="24"/>
          <w:szCs w:val="21"/>
          <w:fitText w:val="1200" w:id="-1231309306"/>
        </w:rPr>
        <w:t>人</w:t>
      </w:r>
      <w:r>
        <w:rPr>
          <w:rFonts w:hint="eastAsia"/>
          <w:bCs/>
          <w:sz w:val="24"/>
          <w:szCs w:val="21"/>
        </w:rPr>
        <w:t>：</w:t>
      </w:r>
      <w:r>
        <w:rPr>
          <w:rFonts w:hint="eastAsia"/>
          <w:bCs/>
          <w:sz w:val="24"/>
          <w:szCs w:val="21"/>
          <w:u w:val="single"/>
        </w:rPr>
        <w:t xml:space="preserve">            </w:t>
      </w:r>
      <w:r>
        <w:rPr>
          <w:rFonts w:hint="eastAsia"/>
          <w:bCs/>
          <w:sz w:val="24"/>
          <w:szCs w:val="21"/>
        </w:rPr>
        <w:t>（盖单位章）</w:t>
      </w:r>
    </w:p>
    <w:p>
      <w:pPr>
        <w:adjustRightInd w:val="0"/>
        <w:snapToGrid w:val="0"/>
        <w:spacing w:line="360" w:lineRule="auto"/>
        <w:ind w:firstLine="1920"/>
        <w:jc w:val="right"/>
        <w:rPr>
          <w:rFonts w:eastAsia="黑体"/>
          <w:sz w:val="28"/>
          <w:szCs w:val="28"/>
        </w:rPr>
      </w:pPr>
      <w:r>
        <w:rPr>
          <w:rFonts w:hint="eastAsia"/>
          <w:bCs/>
          <w:spacing w:val="360"/>
          <w:kern w:val="0"/>
          <w:sz w:val="24"/>
          <w:szCs w:val="21"/>
          <w:fitText w:val="1200" w:id="-1231309305"/>
        </w:rPr>
        <w:t>日</w:t>
      </w:r>
      <w:r>
        <w:rPr>
          <w:rFonts w:hint="eastAsia"/>
          <w:bCs/>
          <w:spacing w:val="0"/>
          <w:kern w:val="0"/>
          <w:sz w:val="24"/>
          <w:szCs w:val="21"/>
          <w:fitText w:val="1200" w:id="-1231309305"/>
        </w:rPr>
        <w:t>期</w:t>
      </w:r>
      <w:r>
        <w:rPr>
          <w:rFonts w:hint="eastAsia"/>
          <w:sz w:val="24"/>
          <w:szCs w:val="21"/>
        </w:rPr>
        <w:t>：</w:t>
      </w:r>
      <w:r>
        <w:rPr>
          <w:rFonts w:hint="eastAsia"/>
          <w:sz w:val="24"/>
          <w:szCs w:val="21"/>
          <w:u w:val="single"/>
        </w:rPr>
        <w:t xml:space="preserve">       </w:t>
      </w:r>
      <w:r>
        <w:rPr>
          <w:rFonts w:hint="eastAsia"/>
          <w:sz w:val="24"/>
          <w:szCs w:val="21"/>
        </w:rPr>
        <w:t>年</w:t>
      </w:r>
      <w:r>
        <w:rPr>
          <w:rFonts w:hint="eastAsia"/>
          <w:sz w:val="24"/>
          <w:szCs w:val="21"/>
          <w:u w:val="single"/>
        </w:rPr>
        <w:t xml:space="preserve">     </w:t>
      </w:r>
      <w:r>
        <w:rPr>
          <w:rFonts w:hint="eastAsia"/>
          <w:sz w:val="24"/>
          <w:szCs w:val="21"/>
        </w:rPr>
        <w:t>月</w:t>
      </w:r>
      <w:r>
        <w:rPr>
          <w:rFonts w:hint="eastAsia"/>
          <w:sz w:val="24"/>
          <w:szCs w:val="21"/>
          <w:u w:val="single"/>
        </w:rPr>
        <w:t xml:space="preserve">      </w:t>
      </w:r>
      <w:r>
        <w:rPr>
          <w:rFonts w:hint="eastAsia"/>
          <w:sz w:val="24"/>
          <w:szCs w:val="21"/>
        </w:rPr>
        <w:t>日</w:t>
      </w:r>
    </w:p>
    <w:p>
      <w:pPr>
        <w:spacing w:line="360" w:lineRule="auto"/>
        <w:ind w:firstLine="482"/>
        <w:jc w:val="center"/>
        <w:rPr>
          <w:rFonts w:ascii="黑体" w:hAnsi="黑体" w:eastAsia="黑体" w:cs="黑体"/>
          <w:bCs/>
          <w:sz w:val="24"/>
        </w:rPr>
      </w:pPr>
      <w:r>
        <w:rPr>
          <w:b/>
          <w:sz w:val="24"/>
        </w:rPr>
        <w:br w:type="page"/>
      </w:r>
      <w:r>
        <w:rPr>
          <w:rFonts w:hint="eastAsia" w:ascii="黑体" w:hAnsi="黑体" w:eastAsia="黑体" w:cs="黑体"/>
          <w:bCs/>
          <w:sz w:val="24"/>
        </w:rPr>
        <w:t>投标人近年完成的类似项目信息表（详细评审）</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项目名称</w:t>
            </w:r>
          </w:p>
          <w:p>
            <w:pPr>
              <w:autoSpaceDE w:val="0"/>
              <w:autoSpaceDN w:val="0"/>
              <w:adjustRightInd w:val="0"/>
              <w:spacing w:line="300" w:lineRule="exact"/>
              <w:ind w:firstLine="480"/>
              <w:jc w:val="center"/>
              <w:rPr>
                <w:rFonts w:cs="宋体"/>
                <w:sz w:val="24"/>
                <w:szCs w:val="21"/>
              </w:rPr>
            </w:pPr>
            <w:r>
              <w:rPr>
                <w:rFonts w:hint="eastAsia" w:cs="宋体"/>
                <w:sz w:val="24"/>
                <w:szCs w:val="21"/>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sz w:val="24"/>
                <w:szCs w:val="22"/>
              </w:rPr>
              <w:t>商务文件详细评审业绩</w:t>
            </w:r>
          </w:p>
        </w:tc>
      </w:tr>
    </w:tbl>
    <w:p>
      <w:pPr>
        <w:autoSpaceDE w:val="0"/>
        <w:autoSpaceDN w:val="0"/>
        <w:adjustRightInd w:val="0"/>
        <w:spacing w:line="300" w:lineRule="exact"/>
        <w:ind w:firstLine="480"/>
        <w:jc w:val="left"/>
        <w:rPr>
          <w:kern w:val="0"/>
          <w:sz w:val="24"/>
          <w:szCs w:val="21"/>
        </w:rPr>
      </w:pPr>
      <w:r>
        <w:rPr>
          <w:rFonts w:hint="eastAsia" w:cs="宋体"/>
          <w:sz w:val="24"/>
          <w:szCs w:val="21"/>
        </w:rPr>
        <w:t>注：</w:t>
      </w:r>
      <w:r>
        <w:rPr>
          <w:kern w:val="0"/>
          <w:sz w:val="24"/>
          <w:szCs w:val="21"/>
        </w:rPr>
        <w:t>投标人应根据招标文件第二章</w:t>
      </w:r>
      <w:r>
        <w:rPr>
          <w:rFonts w:hint="eastAsia" w:ascii="宋体" w:hAnsi="宋体" w:cs="宋体"/>
          <w:kern w:val="0"/>
          <w:sz w:val="24"/>
          <w:szCs w:val="21"/>
        </w:rPr>
        <w:t>“投标人须知”</w:t>
      </w:r>
      <w:r>
        <w:rPr>
          <w:kern w:val="0"/>
          <w:sz w:val="24"/>
          <w:szCs w:val="21"/>
        </w:rPr>
        <w:t>第3.5.3项的要求在本表后附相关证明材料。</w:t>
      </w:r>
    </w:p>
    <w:p>
      <w:pPr>
        <w:autoSpaceDE w:val="0"/>
        <w:autoSpaceDN w:val="0"/>
        <w:adjustRightInd w:val="0"/>
        <w:spacing w:line="360" w:lineRule="auto"/>
        <w:ind w:firstLine="480"/>
        <w:jc w:val="left"/>
        <w:rPr>
          <w:rFonts w:cs="宋体"/>
          <w:sz w:val="24"/>
          <w:szCs w:val="21"/>
        </w:rPr>
      </w:pPr>
    </w:p>
    <w:p>
      <w:pPr>
        <w:numPr>
          <w:ilvl w:val="0"/>
          <w:numId w:val="4"/>
        </w:numPr>
        <w:spacing w:beforeLines="100" w:afterLines="100" w:line="360" w:lineRule="auto"/>
        <w:ind w:firstLineChars="0"/>
        <w:jc w:val="center"/>
        <w:outlineLvl w:val="3"/>
        <w:rPr>
          <w:rFonts w:ascii="黑体" w:hAnsi="黑体" w:eastAsia="黑体" w:cs="黑体"/>
          <w:bCs/>
          <w:sz w:val="24"/>
        </w:rPr>
      </w:pPr>
      <w:r>
        <w:rPr>
          <w:rFonts w:eastAsia="黑体"/>
          <w:bCs/>
          <w:sz w:val="24"/>
          <w:szCs w:val="21"/>
        </w:rPr>
        <w:br w:type="page"/>
      </w:r>
      <w:bookmarkStart w:id="756" w:name="_Toc17457"/>
      <w:bookmarkStart w:id="757" w:name="_Toc21543"/>
      <w:bookmarkStart w:id="758" w:name="_Toc5020"/>
      <w:bookmarkStart w:id="759" w:name="_Toc19339"/>
      <w:bookmarkStart w:id="760" w:name="_Toc14380"/>
      <w:bookmarkStart w:id="761" w:name="_Toc14778"/>
      <w:bookmarkStart w:id="762" w:name="_Toc9361"/>
      <w:r>
        <w:rPr>
          <w:rFonts w:hint="eastAsia" w:ascii="黑体" w:hAnsi="黑体" w:eastAsia="黑体" w:cs="黑体"/>
          <w:bCs/>
          <w:sz w:val="24"/>
        </w:rPr>
        <w:t>项目经理</w:t>
      </w:r>
      <w:bookmarkEnd w:id="756"/>
      <w:bookmarkEnd w:id="757"/>
      <w:bookmarkEnd w:id="758"/>
      <w:bookmarkEnd w:id="759"/>
      <w:bookmarkEnd w:id="760"/>
      <w:bookmarkEnd w:id="761"/>
      <w:bookmarkEnd w:id="762"/>
      <w:r>
        <w:rPr>
          <w:rFonts w:hint="eastAsia" w:ascii="黑体" w:hAnsi="黑体" w:eastAsia="黑体" w:cs="黑体"/>
          <w:bCs/>
          <w:kern w:val="0"/>
          <w:sz w:val="24"/>
        </w:rPr>
        <w:t>（项目总工）近年完成的类似项目</w:t>
      </w:r>
      <w:r>
        <w:rPr>
          <w:rFonts w:hint="eastAsia" w:ascii="黑体" w:hAnsi="黑体" w:eastAsia="黑体" w:cs="黑体"/>
          <w:bCs/>
          <w:sz w:val="24"/>
        </w:rPr>
        <w:t>情况表（详细评审）</w:t>
      </w:r>
    </w:p>
    <w:p>
      <w:pPr>
        <w:keepNext/>
        <w:keepLines/>
        <w:numPr>
          <w:ilvl w:val="255"/>
          <w:numId w:val="0"/>
        </w:numPr>
        <w:spacing w:line="360" w:lineRule="auto"/>
        <w:jc w:val="center"/>
        <w:rPr>
          <w:rFonts w:ascii="黑体" w:hAnsi="黑体" w:eastAsia="黑体" w:cs="黑体"/>
          <w:bCs/>
          <w:sz w:val="24"/>
        </w:rPr>
      </w:pPr>
      <w:r>
        <w:rPr>
          <w:rFonts w:hint="eastAsia" w:ascii="黑体" w:hAnsi="黑体" w:eastAsia="黑体" w:cs="黑体"/>
          <w:bCs/>
          <w:sz w:val="24"/>
        </w:rPr>
        <w:t>1.项目经理近年完成的类似项目情况表（详细评审）</w:t>
      </w:r>
    </w:p>
    <w:tbl>
      <w:tblPr>
        <w:tblStyle w:val="5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4"/>
        <w:gridCol w:w="562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0" w:firstLineChars="0"/>
              <w:rPr>
                <w:b/>
                <w:sz w:val="24"/>
              </w:rPr>
            </w:pPr>
            <w:r>
              <w:rPr>
                <w:rFonts w:hint="eastAsia"/>
                <w:b/>
                <w:sz w:val="24"/>
              </w:rPr>
              <w:t>业绩序号</w:t>
            </w:r>
          </w:p>
        </w:tc>
        <w:tc>
          <w:tcPr>
            <w:tcW w:w="3304" w:type="pct"/>
            <w:noWrap/>
            <w:vAlign w:val="center"/>
          </w:tcPr>
          <w:p>
            <w:pPr>
              <w:spacing w:line="360" w:lineRule="auto"/>
              <w:ind w:firstLine="482"/>
              <w:jc w:val="center"/>
              <w:rPr>
                <w:b/>
                <w:sz w:val="24"/>
              </w:rPr>
            </w:pPr>
            <w:r>
              <w:rPr>
                <w:rFonts w:hint="eastAsia"/>
                <w:b/>
                <w:sz w:val="24"/>
              </w:rPr>
              <w:t>项目</w:t>
            </w:r>
            <w:r>
              <w:rPr>
                <w:b/>
                <w:sz w:val="24"/>
              </w:rPr>
              <w:t>名称</w:t>
            </w:r>
            <w:r>
              <w:rPr>
                <w:rFonts w:hint="eastAsia"/>
                <w:b/>
                <w:sz w:val="24"/>
              </w:rPr>
              <w:t>（合同名称）</w:t>
            </w:r>
          </w:p>
        </w:tc>
        <w:tc>
          <w:tcPr>
            <w:tcW w:w="777" w:type="pct"/>
            <w:noWrap/>
            <w:vAlign w:val="center"/>
          </w:tcPr>
          <w:p>
            <w:pPr>
              <w:spacing w:line="360" w:lineRule="auto"/>
              <w:ind w:firstLine="482"/>
              <w:jc w:val="center"/>
              <w:rPr>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jc w:val="center"/>
              <w:rPr>
                <w:sz w:val="24"/>
              </w:rPr>
            </w:pPr>
            <w:r>
              <w:rPr>
                <w:rFonts w:hint="eastAsia"/>
                <w:sz w:val="24"/>
              </w:rPr>
              <w:t>1</w:t>
            </w:r>
          </w:p>
        </w:tc>
        <w:tc>
          <w:tcPr>
            <w:tcW w:w="3304" w:type="pct"/>
            <w:noWrap/>
            <w:vAlign w:val="center"/>
          </w:tcPr>
          <w:p>
            <w:pPr>
              <w:spacing w:line="360" w:lineRule="auto"/>
              <w:ind w:firstLine="480"/>
              <w:jc w:val="center"/>
              <w:rPr>
                <w:sz w:val="24"/>
              </w:rPr>
            </w:pPr>
          </w:p>
        </w:tc>
        <w:tc>
          <w:tcPr>
            <w:tcW w:w="777"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jc w:val="center"/>
              <w:rPr>
                <w:sz w:val="24"/>
              </w:rPr>
            </w:pPr>
            <w:r>
              <w:rPr>
                <w:sz w:val="24"/>
              </w:rPr>
              <w:t>2</w:t>
            </w:r>
          </w:p>
        </w:tc>
        <w:tc>
          <w:tcPr>
            <w:tcW w:w="3304" w:type="pct"/>
            <w:noWrap/>
            <w:vAlign w:val="center"/>
          </w:tcPr>
          <w:p>
            <w:pPr>
              <w:spacing w:line="360" w:lineRule="auto"/>
              <w:ind w:firstLine="480"/>
              <w:jc w:val="center"/>
              <w:rPr>
                <w:sz w:val="24"/>
              </w:rPr>
            </w:pPr>
          </w:p>
        </w:tc>
        <w:tc>
          <w:tcPr>
            <w:tcW w:w="777"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jc w:val="center"/>
              <w:rPr>
                <w:sz w:val="24"/>
              </w:rPr>
            </w:pPr>
            <w:r>
              <w:rPr>
                <w:rFonts w:hint="eastAsia"/>
                <w:sz w:val="24"/>
              </w:rPr>
              <w:t>……</w:t>
            </w:r>
          </w:p>
        </w:tc>
        <w:tc>
          <w:tcPr>
            <w:tcW w:w="3304" w:type="pct"/>
            <w:noWrap/>
            <w:vAlign w:val="center"/>
          </w:tcPr>
          <w:p>
            <w:pPr>
              <w:spacing w:line="360" w:lineRule="auto"/>
              <w:ind w:firstLine="480"/>
              <w:jc w:val="center"/>
              <w:rPr>
                <w:sz w:val="24"/>
              </w:rPr>
            </w:pPr>
          </w:p>
        </w:tc>
        <w:tc>
          <w:tcPr>
            <w:tcW w:w="777" w:type="pct"/>
            <w:noWrap/>
            <w:vAlign w:val="center"/>
          </w:tcPr>
          <w:p>
            <w:pPr>
              <w:spacing w:line="360" w:lineRule="auto"/>
              <w:ind w:firstLine="480"/>
              <w:jc w:val="center"/>
              <w:rPr>
                <w:sz w:val="24"/>
              </w:rPr>
            </w:pPr>
          </w:p>
        </w:tc>
      </w:tr>
    </w:tbl>
    <w:p>
      <w:pPr>
        <w:spacing w:line="360" w:lineRule="auto"/>
        <w:ind w:firstLine="480"/>
        <w:rPr>
          <w:sz w:val="24"/>
        </w:rPr>
      </w:pPr>
      <w:r>
        <w:rPr>
          <w:rFonts w:hint="eastAsia"/>
          <w:sz w:val="24"/>
        </w:rPr>
        <w:t>注：</w:t>
      </w:r>
    </w:p>
    <w:p>
      <w:pPr>
        <w:spacing w:line="360" w:lineRule="auto"/>
        <w:ind w:firstLine="480"/>
        <w:rPr>
          <w:sz w:val="24"/>
        </w:rPr>
      </w:pPr>
      <w:r>
        <w:rPr>
          <w:rFonts w:hint="eastAsia"/>
          <w:sz w:val="24"/>
        </w:rPr>
        <w:t>1.投标人应将用于商务文件详细评审的业绩在上表中列明，按照列明</w:t>
      </w:r>
      <w:r>
        <w:rPr>
          <w:sz w:val="24"/>
        </w:rPr>
        <w:t>的</w:t>
      </w:r>
      <w:r>
        <w:rPr>
          <w:rFonts w:hint="eastAsia"/>
          <w:sz w:val="24"/>
        </w:rPr>
        <w:t>业绩序号先后</w:t>
      </w:r>
      <w:r>
        <w:rPr>
          <w:sz w:val="24"/>
        </w:rPr>
        <w:t>顺序</w:t>
      </w:r>
      <w:r>
        <w:rPr>
          <w:rFonts w:hint="eastAsia"/>
          <w:sz w:val="24"/>
        </w:rPr>
        <w:t>依次填写“项目经理</w:t>
      </w:r>
      <w:r>
        <w:rPr>
          <w:sz w:val="24"/>
        </w:rPr>
        <w:t>近年完成的类似项目</w:t>
      </w:r>
      <w:r>
        <w:rPr>
          <w:rFonts w:hint="eastAsia"/>
          <w:sz w:val="24"/>
        </w:rPr>
        <w:t>信息</w:t>
      </w:r>
      <w:r>
        <w:rPr>
          <w:sz w:val="24"/>
        </w:rPr>
        <w:t>表</w:t>
      </w:r>
      <w:r>
        <w:rPr>
          <w:rFonts w:hint="eastAsia"/>
          <w:sz w:val="24"/>
        </w:rPr>
        <w:t>（详细评审）”，并附相应业绩证明材料。</w:t>
      </w:r>
    </w:p>
    <w:p>
      <w:pPr>
        <w:spacing w:line="360" w:lineRule="auto"/>
        <w:ind w:firstLine="480"/>
        <w:rPr>
          <w:sz w:val="24"/>
        </w:rPr>
      </w:pPr>
      <w:r>
        <w:rPr>
          <w:rFonts w:hint="eastAsia"/>
          <w:sz w:val="24"/>
        </w:rPr>
        <w:t>2.评标</w:t>
      </w:r>
      <w:r>
        <w:rPr>
          <w:sz w:val="24"/>
        </w:rPr>
        <w:t>委员会应当按照上表</w:t>
      </w:r>
      <w:r>
        <w:rPr>
          <w:rFonts w:hint="eastAsia"/>
          <w:sz w:val="24"/>
        </w:rPr>
        <w:t>列明</w:t>
      </w:r>
      <w:r>
        <w:rPr>
          <w:sz w:val="24"/>
        </w:rPr>
        <w:t>的</w:t>
      </w:r>
      <w:r>
        <w:rPr>
          <w:rFonts w:hint="eastAsia"/>
          <w:sz w:val="24"/>
        </w:rPr>
        <w:t>业绩序号先后</w:t>
      </w:r>
      <w:r>
        <w:rPr>
          <w:sz w:val="24"/>
        </w:rPr>
        <w:t>顺序</w:t>
      </w:r>
      <w:r>
        <w:rPr>
          <w:rFonts w:hint="eastAsia"/>
          <w:sz w:val="24"/>
        </w:rPr>
        <w:t>依次</w:t>
      </w:r>
      <w:r>
        <w:rPr>
          <w:sz w:val="24"/>
        </w:rPr>
        <w:t>进行评审，</w:t>
      </w:r>
      <w:r>
        <w:rPr>
          <w:rFonts w:hint="eastAsia"/>
          <w:sz w:val="24"/>
        </w:rPr>
        <w:t>且仅评审标准规定数量的业绩，超出规定数量部分或未在上表列明的业绩均不作为商务文件详细评审项目经理业绩予以评审。</w:t>
      </w:r>
    </w:p>
    <w:p>
      <w:pPr>
        <w:spacing w:line="360" w:lineRule="auto"/>
        <w:ind w:firstLine="480"/>
        <w:rPr>
          <w:sz w:val="24"/>
        </w:rPr>
      </w:pPr>
    </w:p>
    <w:p>
      <w:pPr>
        <w:tabs>
          <w:tab w:val="left" w:pos="8422"/>
          <w:tab w:val="left" w:pos="9622"/>
        </w:tabs>
        <w:spacing w:line="360" w:lineRule="auto"/>
        <w:ind w:left="4200" w:leftChars="2000" w:right="105" w:rightChars="50" w:firstLine="480"/>
        <w:jc w:val="left"/>
        <w:rPr>
          <w:sz w:val="24"/>
        </w:rPr>
      </w:pPr>
    </w:p>
    <w:p>
      <w:pPr>
        <w:adjustRightInd w:val="0"/>
        <w:snapToGrid w:val="0"/>
        <w:spacing w:line="360" w:lineRule="auto"/>
        <w:ind w:firstLine="960"/>
        <w:jc w:val="right"/>
        <w:rPr>
          <w:bCs/>
          <w:sz w:val="24"/>
          <w:szCs w:val="21"/>
          <w:u w:val="single"/>
        </w:rPr>
      </w:pPr>
      <w:r>
        <w:rPr>
          <w:rFonts w:hint="eastAsia"/>
          <w:bCs/>
          <w:spacing w:val="120"/>
          <w:kern w:val="0"/>
          <w:sz w:val="24"/>
          <w:szCs w:val="21"/>
          <w:fitText w:val="1200" w:id="-1231309304"/>
        </w:rPr>
        <w:t>投标</w:t>
      </w:r>
      <w:r>
        <w:rPr>
          <w:rFonts w:hint="eastAsia"/>
          <w:bCs/>
          <w:spacing w:val="0"/>
          <w:kern w:val="0"/>
          <w:sz w:val="24"/>
          <w:szCs w:val="21"/>
          <w:fitText w:val="1200" w:id="-1231309304"/>
        </w:rPr>
        <w:t>人</w:t>
      </w:r>
      <w:r>
        <w:rPr>
          <w:rFonts w:hint="eastAsia"/>
          <w:bCs/>
          <w:sz w:val="24"/>
          <w:szCs w:val="21"/>
        </w:rPr>
        <w:t>：</w:t>
      </w:r>
      <w:r>
        <w:rPr>
          <w:rFonts w:hint="eastAsia"/>
          <w:bCs/>
          <w:sz w:val="24"/>
          <w:szCs w:val="21"/>
          <w:u w:val="single"/>
        </w:rPr>
        <w:t xml:space="preserve">            </w:t>
      </w:r>
      <w:r>
        <w:rPr>
          <w:rFonts w:hint="eastAsia"/>
          <w:bCs/>
          <w:sz w:val="24"/>
          <w:szCs w:val="21"/>
        </w:rPr>
        <w:t>（盖单位章）</w:t>
      </w:r>
    </w:p>
    <w:p>
      <w:pPr>
        <w:adjustRightInd w:val="0"/>
        <w:snapToGrid w:val="0"/>
        <w:spacing w:line="360" w:lineRule="auto"/>
        <w:ind w:firstLine="1920"/>
        <w:jc w:val="right"/>
        <w:rPr>
          <w:rFonts w:eastAsia="黑体"/>
          <w:sz w:val="28"/>
          <w:szCs w:val="28"/>
        </w:rPr>
      </w:pPr>
      <w:r>
        <w:rPr>
          <w:rFonts w:hint="eastAsia"/>
          <w:bCs/>
          <w:spacing w:val="360"/>
          <w:kern w:val="0"/>
          <w:sz w:val="24"/>
          <w:szCs w:val="21"/>
          <w:fitText w:val="1200" w:id="-1231309303"/>
        </w:rPr>
        <w:t>日</w:t>
      </w:r>
      <w:r>
        <w:rPr>
          <w:rFonts w:hint="eastAsia"/>
          <w:bCs/>
          <w:spacing w:val="0"/>
          <w:kern w:val="0"/>
          <w:sz w:val="24"/>
          <w:szCs w:val="21"/>
          <w:fitText w:val="1200" w:id="-1231309303"/>
        </w:rPr>
        <w:t>期</w:t>
      </w:r>
      <w:r>
        <w:rPr>
          <w:rFonts w:hint="eastAsia"/>
          <w:sz w:val="24"/>
          <w:szCs w:val="21"/>
        </w:rPr>
        <w:t>：</w:t>
      </w:r>
      <w:r>
        <w:rPr>
          <w:rFonts w:hint="eastAsia"/>
          <w:sz w:val="24"/>
          <w:szCs w:val="21"/>
          <w:u w:val="single"/>
        </w:rPr>
        <w:t xml:space="preserve">       </w:t>
      </w:r>
      <w:r>
        <w:rPr>
          <w:rFonts w:hint="eastAsia"/>
          <w:sz w:val="24"/>
          <w:szCs w:val="21"/>
        </w:rPr>
        <w:t>年</w:t>
      </w:r>
      <w:r>
        <w:rPr>
          <w:rFonts w:hint="eastAsia"/>
          <w:sz w:val="24"/>
          <w:szCs w:val="21"/>
          <w:u w:val="single"/>
        </w:rPr>
        <w:t xml:space="preserve">     </w:t>
      </w:r>
      <w:r>
        <w:rPr>
          <w:rFonts w:hint="eastAsia"/>
          <w:sz w:val="24"/>
          <w:szCs w:val="21"/>
        </w:rPr>
        <w:t>月</w:t>
      </w:r>
      <w:r>
        <w:rPr>
          <w:rFonts w:hint="eastAsia"/>
          <w:sz w:val="24"/>
          <w:szCs w:val="21"/>
          <w:u w:val="single"/>
        </w:rPr>
        <w:t xml:space="preserve">      </w:t>
      </w:r>
      <w:r>
        <w:rPr>
          <w:rFonts w:hint="eastAsia"/>
          <w:sz w:val="24"/>
          <w:szCs w:val="21"/>
        </w:rPr>
        <w:t>日</w:t>
      </w:r>
    </w:p>
    <w:p>
      <w:pPr>
        <w:spacing w:line="360" w:lineRule="auto"/>
        <w:ind w:firstLine="480"/>
        <w:jc w:val="center"/>
        <w:rPr>
          <w:rFonts w:ascii="黑体" w:hAnsi="黑体" w:eastAsia="黑体" w:cs="黑体"/>
          <w:bCs/>
          <w:sz w:val="24"/>
        </w:rPr>
      </w:pPr>
      <w:r>
        <w:rPr>
          <w:sz w:val="24"/>
        </w:rPr>
        <w:br w:type="page"/>
      </w:r>
      <w:r>
        <w:rPr>
          <w:rFonts w:hint="eastAsia" w:ascii="黑体" w:hAnsi="黑体" w:eastAsia="黑体" w:cs="黑体"/>
          <w:bCs/>
          <w:sz w:val="24"/>
        </w:rPr>
        <w:t>项目经理近年完成的类似项目信息表（详细评审）</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项目名称</w:t>
            </w:r>
          </w:p>
          <w:p>
            <w:pPr>
              <w:autoSpaceDE w:val="0"/>
              <w:autoSpaceDN w:val="0"/>
              <w:adjustRightInd w:val="0"/>
              <w:spacing w:line="300" w:lineRule="exact"/>
              <w:ind w:firstLine="480"/>
              <w:jc w:val="center"/>
              <w:rPr>
                <w:rFonts w:cs="宋体"/>
                <w:sz w:val="24"/>
                <w:szCs w:val="21"/>
              </w:rPr>
            </w:pPr>
            <w:r>
              <w:rPr>
                <w:rFonts w:hint="eastAsia" w:cs="宋体"/>
                <w:sz w:val="24"/>
                <w:szCs w:val="21"/>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sz w:val="24"/>
                <w:szCs w:val="22"/>
              </w:rPr>
              <w:t>商务文件详细评审业绩</w:t>
            </w:r>
          </w:p>
        </w:tc>
      </w:tr>
    </w:tbl>
    <w:p>
      <w:pPr>
        <w:autoSpaceDE w:val="0"/>
        <w:autoSpaceDN w:val="0"/>
        <w:adjustRightInd w:val="0"/>
        <w:spacing w:line="360" w:lineRule="auto"/>
        <w:ind w:firstLine="480"/>
        <w:jc w:val="left"/>
        <w:rPr>
          <w:rFonts w:eastAsia="黑体"/>
          <w:bCs/>
          <w:sz w:val="24"/>
        </w:rPr>
      </w:pPr>
      <w:r>
        <w:rPr>
          <w:rFonts w:hint="eastAsia" w:cs="宋体"/>
          <w:sz w:val="24"/>
          <w:szCs w:val="21"/>
        </w:rPr>
        <w:t>注：</w:t>
      </w:r>
      <w:r>
        <w:rPr>
          <w:kern w:val="0"/>
          <w:sz w:val="24"/>
        </w:rPr>
        <w:t>投标人应根据招标文件第二章</w:t>
      </w:r>
      <w:r>
        <w:rPr>
          <w:rFonts w:hint="eastAsia" w:ascii="宋体" w:hAnsi="宋体" w:cs="宋体"/>
          <w:kern w:val="0"/>
          <w:sz w:val="24"/>
        </w:rPr>
        <w:t>“投标人须知”</w:t>
      </w:r>
      <w:r>
        <w:rPr>
          <w:kern w:val="0"/>
          <w:sz w:val="24"/>
        </w:rPr>
        <w:t>第3.5.5项的要求在本表后附相关证明材料。</w:t>
      </w:r>
    </w:p>
    <w:bookmarkEnd w:id="748"/>
    <w:bookmarkEnd w:id="749"/>
    <w:bookmarkEnd w:id="750"/>
    <w:bookmarkEnd w:id="751"/>
    <w:bookmarkEnd w:id="752"/>
    <w:bookmarkEnd w:id="753"/>
    <w:bookmarkEnd w:id="754"/>
    <w:bookmarkEnd w:id="755"/>
    <w:p>
      <w:pPr>
        <w:numPr>
          <w:ilvl w:val="255"/>
          <w:numId w:val="0"/>
        </w:numPr>
        <w:spacing w:line="360" w:lineRule="auto"/>
        <w:jc w:val="center"/>
        <w:rPr>
          <w:rFonts w:ascii="黑体" w:hAnsi="黑体" w:eastAsia="黑体" w:cs="黑体"/>
          <w:sz w:val="24"/>
        </w:rPr>
      </w:pPr>
      <w:r>
        <w:rPr>
          <w:rFonts w:hint="eastAsia" w:eastAsia="黑体"/>
          <w:bCs/>
          <w:sz w:val="24"/>
        </w:rPr>
        <w:br w:type="page"/>
      </w:r>
      <w:r>
        <w:rPr>
          <w:rFonts w:hint="eastAsia" w:ascii="黑体" w:hAnsi="黑体" w:eastAsia="黑体" w:cs="黑体"/>
          <w:sz w:val="24"/>
        </w:rPr>
        <w:t>2.项目总工近年完成的类似项目情况表（详细评审）</w:t>
      </w:r>
    </w:p>
    <w:tbl>
      <w:tblPr>
        <w:tblStyle w:val="5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4"/>
        <w:gridCol w:w="562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0" w:firstLineChars="0"/>
              <w:rPr>
                <w:b/>
                <w:sz w:val="24"/>
              </w:rPr>
            </w:pPr>
            <w:r>
              <w:rPr>
                <w:rFonts w:hint="eastAsia"/>
                <w:b/>
                <w:sz w:val="24"/>
              </w:rPr>
              <w:t>业绩序号</w:t>
            </w:r>
          </w:p>
        </w:tc>
        <w:tc>
          <w:tcPr>
            <w:tcW w:w="3304" w:type="pct"/>
            <w:noWrap/>
            <w:vAlign w:val="center"/>
          </w:tcPr>
          <w:p>
            <w:pPr>
              <w:spacing w:line="360" w:lineRule="auto"/>
              <w:ind w:firstLine="482"/>
              <w:jc w:val="center"/>
              <w:rPr>
                <w:b/>
                <w:sz w:val="24"/>
              </w:rPr>
            </w:pPr>
            <w:r>
              <w:rPr>
                <w:rFonts w:hint="eastAsia"/>
                <w:b/>
                <w:sz w:val="24"/>
              </w:rPr>
              <w:t>项目</w:t>
            </w:r>
            <w:r>
              <w:rPr>
                <w:b/>
                <w:sz w:val="24"/>
              </w:rPr>
              <w:t>名称</w:t>
            </w:r>
            <w:r>
              <w:rPr>
                <w:rFonts w:hint="eastAsia"/>
                <w:b/>
                <w:sz w:val="24"/>
              </w:rPr>
              <w:t>（合同名称）</w:t>
            </w:r>
          </w:p>
        </w:tc>
        <w:tc>
          <w:tcPr>
            <w:tcW w:w="777" w:type="pct"/>
            <w:noWrap/>
            <w:vAlign w:val="center"/>
          </w:tcPr>
          <w:p>
            <w:pPr>
              <w:spacing w:line="360" w:lineRule="auto"/>
              <w:ind w:firstLine="482"/>
              <w:jc w:val="center"/>
              <w:rPr>
                <w:b/>
                <w:sz w:val="24"/>
              </w:rPr>
            </w:pPr>
            <w:r>
              <w:rPr>
                <w:rFonts w:hint="eastAsia"/>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jc w:val="center"/>
              <w:rPr>
                <w:sz w:val="24"/>
              </w:rPr>
            </w:pPr>
            <w:r>
              <w:rPr>
                <w:rFonts w:hint="eastAsia"/>
                <w:sz w:val="24"/>
              </w:rPr>
              <w:t>1</w:t>
            </w:r>
          </w:p>
        </w:tc>
        <w:tc>
          <w:tcPr>
            <w:tcW w:w="3304" w:type="pct"/>
            <w:noWrap/>
            <w:vAlign w:val="center"/>
          </w:tcPr>
          <w:p>
            <w:pPr>
              <w:spacing w:line="360" w:lineRule="auto"/>
              <w:ind w:firstLine="480"/>
              <w:jc w:val="center"/>
              <w:rPr>
                <w:sz w:val="24"/>
              </w:rPr>
            </w:pPr>
          </w:p>
        </w:tc>
        <w:tc>
          <w:tcPr>
            <w:tcW w:w="777"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jc w:val="center"/>
              <w:rPr>
                <w:sz w:val="24"/>
              </w:rPr>
            </w:pPr>
            <w:r>
              <w:rPr>
                <w:sz w:val="24"/>
              </w:rPr>
              <w:t>2</w:t>
            </w:r>
          </w:p>
        </w:tc>
        <w:tc>
          <w:tcPr>
            <w:tcW w:w="3304" w:type="pct"/>
            <w:noWrap/>
            <w:vAlign w:val="center"/>
          </w:tcPr>
          <w:p>
            <w:pPr>
              <w:spacing w:line="360" w:lineRule="auto"/>
              <w:ind w:firstLine="480"/>
              <w:jc w:val="center"/>
              <w:rPr>
                <w:sz w:val="24"/>
              </w:rPr>
            </w:pPr>
          </w:p>
        </w:tc>
        <w:tc>
          <w:tcPr>
            <w:tcW w:w="777" w:type="pct"/>
            <w:noWrap/>
            <w:vAlign w:val="center"/>
          </w:tcPr>
          <w:p>
            <w:pPr>
              <w:spacing w:line="360" w:lineRule="auto"/>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jc w:val="center"/>
              <w:rPr>
                <w:sz w:val="24"/>
              </w:rPr>
            </w:pPr>
            <w:r>
              <w:rPr>
                <w:rFonts w:hint="eastAsia"/>
                <w:sz w:val="24"/>
              </w:rPr>
              <w:t>……</w:t>
            </w:r>
          </w:p>
        </w:tc>
        <w:tc>
          <w:tcPr>
            <w:tcW w:w="3304" w:type="pct"/>
            <w:noWrap/>
            <w:vAlign w:val="center"/>
          </w:tcPr>
          <w:p>
            <w:pPr>
              <w:spacing w:line="360" w:lineRule="auto"/>
              <w:ind w:firstLine="480"/>
              <w:jc w:val="center"/>
              <w:rPr>
                <w:sz w:val="24"/>
              </w:rPr>
            </w:pPr>
          </w:p>
        </w:tc>
        <w:tc>
          <w:tcPr>
            <w:tcW w:w="777" w:type="pct"/>
            <w:noWrap/>
            <w:vAlign w:val="center"/>
          </w:tcPr>
          <w:p>
            <w:pPr>
              <w:spacing w:line="360" w:lineRule="auto"/>
              <w:ind w:firstLine="480"/>
              <w:jc w:val="center"/>
              <w:rPr>
                <w:sz w:val="24"/>
              </w:rPr>
            </w:pPr>
          </w:p>
        </w:tc>
      </w:tr>
    </w:tbl>
    <w:p>
      <w:pPr>
        <w:spacing w:line="360" w:lineRule="auto"/>
        <w:ind w:firstLine="480"/>
        <w:rPr>
          <w:sz w:val="24"/>
        </w:rPr>
      </w:pPr>
      <w:r>
        <w:rPr>
          <w:rFonts w:hint="eastAsia"/>
          <w:sz w:val="24"/>
        </w:rPr>
        <w:t>注：</w:t>
      </w:r>
    </w:p>
    <w:p>
      <w:pPr>
        <w:spacing w:line="360" w:lineRule="auto"/>
        <w:ind w:firstLine="480"/>
        <w:rPr>
          <w:sz w:val="24"/>
        </w:rPr>
      </w:pPr>
      <w:r>
        <w:rPr>
          <w:rFonts w:hint="eastAsia"/>
          <w:sz w:val="24"/>
        </w:rPr>
        <w:t>1.投标人应将用于商务文件详细评审的业绩在上表中列明，按照列明</w:t>
      </w:r>
      <w:r>
        <w:rPr>
          <w:sz w:val="24"/>
        </w:rPr>
        <w:t>的</w:t>
      </w:r>
      <w:r>
        <w:rPr>
          <w:rFonts w:hint="eastAsia"/>
          <w:sz w:val="24"/>
        </w:rPr>
        <w:t>业绩序号先后</w:t>
      </w:r>
      <w:r>
        <w:rPr>
          <w:sz w:val="24"/>
        </w:rPr>
        <w:t>顺序</w:t>
      </w:r>
      <w:r>
        <w:rPr>
          <w:rFonts w:hint="eastAsia"/>
          <w:sz w:val="24"/>
        </w:rPr>
        <w:t>依次填写“项目总工</w:t>
      </w:r>
      <w:r>
        <w:rPr>
          <w:sz w:val="24"/>
        </w:rPr>
        <w:t>近年完成的类似项目</w:t>
      </w:r>
      <w:r>
        <w:rPr>
          <w:rFonts w:hint="eastAsia"/>
          <w:sz w:val="24"/>
        </w:rPr>
        <w:t>信息</w:t>
      </w:r>
      <w:r>
        <w:rPr>
          <w:sz w:val="24"/>
        </w:rPr>
        <w:t>表</w:t>
      </w:r>
      <w:r>
        <w:rPr>
          <w:rFonts w:hint="eastAsia"/>
          <w:sz w:val="24"/>
        </w:rPr>
        <w:t>（详细评审）”，并附相应业绩证明材料。</w:t>
      </w:r>
    </w:p>
    <w:p>
      <w:pPr>
        <w:spacing w:line="360" w:lineRule="auto"/>
        <w:ind w:firstLine="480"/>
        <w:rPr>
          <w:sz w:val="24"/>
        </w:rPr>
      </w:pPr>
      <w:r>
        <w:rPr>
          <w:rFonts w:hint="eastAsia"/>
          <w:sz w:val="24"/>
        </w:rPr>
        <w:t>2.评标</w:t>
      </w:r>
      <w:r>
        <w:rPr>
          <w:sz w:val="24"/>
        </w:rPr>
        <w:t>委员会应当按照上表</w:t>
      </w:r>
      <w:r>
        <w:rPr>
          <w:rFonts w:hint="eastAsia"/>
          <w:sz w:val="24"/>
        </w:rPr>
        <w:t>列明</w:t>
      </w:r>
      <w:r>
        <w:rPr>
          <w:sz w:val="24"/>
        </w:rPr>
        <w:t>的</w:t>
      </w:r>
      <w:r>
        <w:rPr>
          <w:rFonts w:hint="eastAsia"/>
          <w:sz w:val="24"/>
        </w:rPr>
        <w:t>业绩序号先后</w:t>
      </w:r>
      <w:r>
        <w:rPr>
          <w:sz w:val="24"/>
        </w:rPr>
        <w:t>顺序</w:t>
      </w:r>
      <w:r>
        <w:rPr>
          <w:rFonts w:hint="eastAsia"/>
          <w:sz w:val="24"/>
        </w:rPr>
        <w:t>依次</w:t>
      </w:r>
      <w:r>
        <w:rPr>
          <w:sz w:val="24"/>
        </w:rPr>
        <w:t>进行评审，</w:t>
      </w:r>
      <w:r>
        <w:rPr>
          <w:rFonts w:hint="eastAsia"/>
          <w:sz w:val="24"/>
        </w:rPr>
        <w:t>且仅评审标准规定数量的业绩，超出规定数量部分或未在上表列明的业绩均不作为商务文件详细评审项目总工业绩予以评审。</w:t>
      </w:r>
    </w:p>
    <w:p>
      <w:pPr>
        <w:tabs>
          <w:tab w:val="left" w:pos="8422"/>
          <w:tab w:val="left" w:pos="9622"/>
        </w:tabs>
        <w:spacing w:line="360" w:lineRule="auto"/>
        <w:ind w:left="4200" w:leftChars="2000" w:right="105" w:rightChars="50" w:firstLine="480"/>
        <w:jc w:val="left"/>
        <w:rPr>
          <w:sz w:val="24"/>
        </w:rPr>
      </w:pPr>
    </w:p>
    <w:p>
      <w:pPr>
        <w:adjustRightInd w:val="0"/>
        <w:snapToGrid w:val="0"/>
        <w:spacing w:line="360" w:lineRule="auto"/>
        <w:ind w:firstLine="960"/>
        <w:jc w:val="right"/>
        <w:rPr>
          <w:bCs/>
          <w:sz w:val="24"/>
          <w:szCs w:val="21"/>
          <w:u w:val="single"/>
        </w:rPr>
      </w:pPr>
      <w:r>
        <w:rPr>
          <w:rFonts w:hint="eastAsia"/>
          <w:bCs/>
          <w:spacing w:val="120"/>
          <w:kern w:val="0"/>
          <w:sz w:val="24"/>
          <w:szCs w:val="21"/>
          <w:fitText w:val="1200" w:id="-1231309302"/>
        </w:rPr>
        <w:t>投标</w:t>
      </w:r>
      <w:r>
        <w:rPr>
          <w:rFonts w:hint="eastAsia"/>
          <w:bCs/>
          <w:spacing w:val="0"/>
          <w:kern w:val="0"/>
          <w:sz w:val="24"/>
          <w:szCs w:val="21"/>
          <w:fitText w:val="1200" w:id="-1231309302"/>
        </w:rPr>
        <w:t>人</w:t>
      </w:r>
      <w:r>
        <w:rPr>
          <w:rFonts w:hint="eastAsia"/>
          <w:bCs/>
          <w:sz w:val="24"/>
          <w:szCs w:val="21"/>
        </w:rPr>
        <w:t>：</w:t>
      </w:r>
      <w:r>
        <w:rPr>
          <w:rFonts w:hint="eastAsia"/>
          <w:bCs/>
          <w:sz w:val="24"/>
          <w:szCs w:val="21"/>
          <w:u w:val="single"/>
        </w:rPr>
        <w:t xml:space="preserve">            </w:t>
      </w:r>
      <w:r>
        <w:rPr>
          <w:rFonts w:hint="eastAsia"/>
          <w:bCs/>
          <w:sz w:val="24"/>
          <w:szCs w:val="21"/>
        </w:rPr>
        <w:t>（盖单位章）</w:t>
      </w:r>
    </w:p>
    <w:p>
      <w:pPr>
        <w:adjustRightInd w:val="0"/>
        <w:snapToGrid w:val="0"/>
        <w:spacing w:line="360" w:lineRule="auto"/>
        <w:ind w:firstLine="1920"/>
        <w:jc w:val="right"/>
        <w:rPr>
          <w:rFonts w:eastAsia="黑体"/>
          <w:sz w:val="28"/>
          <w:szCs w:val="28"/>
        </w:rPr>
      </w:pPr>
      <w:r>
        <w:rPr>
          <w:rFonts w:hint="eastAsia"/>
          <w:bCs/>
          <w:spacing w:val="360"/>
          <w:kern w:val="0"/>
          <w:sz w:val="24"/>
          <w:szCs w:val="21"/>
          <w:fitText w:val="1200" w:id="-1231309301"/>
        </w:rPr>
        <w:t>日</w:t>
      </w:r>
      <w:r>
        <w:rPr>
          <w:rFonts w:hint="eastAsia"/>
          <w:bCs/>
          <w:spacing w:val="0"/>
          <w:kern w:val="0"/>
          <w:sz w:val="24"/>
          <w:szCs w:val="21"/>
          <w:fitText w:val="1200" w:id="-1231309301"/>
        </w:rPr>
        <w:t>期</w:t>
      </w:r>
      <w:r>
        <w:rPr>
          <w:rFonts w:hint="eastAsia"/>
          <w:sz w:val="24"/>
          <w:szCs w:val="21"/>
        </w:rPr>
        <w:t>：</w:t>
      </w:r>
      <w:r>
        <w:rPr>
          <w:rFonts w:hint="eastAsia"/>
          <w:sz w:val="24"/>
          <w:szCs w:val="21"/>
          <w:u w:val="single"/>
        </w:rPr>
        <w:t xml:space="preserve">       </w:t>
      </w:r>
      <w:r>
        <w:rPr>
          <w:rFonts w:hint="eastAsia"/>
          <w:sz w:val="24"/>
          <w:szCs w:val="21"/>
        </w:rPr>
        <w:t>年</w:t>
      </w:r>
      <w:r>
        <w:rPr>
          <w:rFonts w:hint="eastAsia"/>
          <w:sz w:val="24"/>
          <w:szCs w:val="21"/>
          <w:u w:val="single"/>
        </w:rPr>
        <w:t xml:space="preserve">     </w:t>
      </w:r>
      <w:r>
        <w:rPr>
          <w:rFonts w:hint="eastAsia"/>
          <w:sz w:val="24"/>
          <w:szCs w:val="21"/>
        </w:rPr>
        <w:t>月</w:t>
      </w:r>
      <w:r>
        <w:rPr>
          <w:rFonts w:hint="eastAsia"/>
          <w:sz w:val="24"/>
          <w:szCs w:val="21"/>
          <w:u w:val="single"/>
        </w:rPr>
        <w:t xml:space="preserve">      </w:t>
      </w:r>
      <w:r>
        <w:rPr>
          <w:rFonts w:hint="eastAsia"/>
          <w:sz w:val="24"/>
          <w:szCs w:val="21"/>
        </w:rPr>
        <w:t>日</w:t>
      </w:r>
    </w:p>
    <w:p>
      <w:pPr>
        <w:spacing w:line="360" w:lineRule="auto"/>
        <w:ind w:firstLine="480"/>
        <w:jc w:val="center"/>
        <w:rPr>
          <w:b/>
          <w:sz w:val="24"/>
        </w:rPr>
      </w:pPr>
      <w:r>
        <w:rPr>
          <w:sz w:val="24"/>
        </w:rPr>
        <w:br w:type="page"/>
      </w:r>
      <w:r>
        <w:rPr>
          <w:rFonts w:hint="eastAsia" w:ascii="黑体" w:hAnsi="黑体" w:eastAsia="黑体" w:cs="黑体"/>
          <w:bCs/>
          <w:sz w:val="24"/>
        </w:rPr>
        <w:t>项目总工近年完成的类似项目信息表（详细评审）</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项目名称</w:t>
            </w:r>
          </w:p>
          <w:p>
            <w:pPr>
              <w:autoSpaceDE w:val="0"/>
              <w:autoSpaceDN w:val="0"/>
              <w:adjustRightInd w:val="0"/>
              <w:spacing w:line="300" w:lineRule="exact"/>
              <w:ind w:firstLine="480"/>
              <w:jc w:val="center"/>
              <w:rPr>
                <w:rFonts w:cs="宋体"/>
                <w:sz w:val="24"/>
                <w:szCs w:val="21"/>
              </w:rPr>
            </w:pPr>
            <w:r>
              <w:rPr>
                <w:rFonts w:hint="eastAsia" w:cs="宋体"/>
                <w:sz w:val="24"/>
                <w:szCs w:val="21"/>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cs="宋体"/>
                <w:sz w:val="24"/>
                <w:szCs w:val="21"/>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jc w:val="center"/>
              <w:rPr>
                <w:rFonts w:cs="宋体"/>
                <w:sz w:val="24"/>
                <w:szCs w:val="21"/>
              </w:rPr>
            </w:pPr>
            <w:r>
              <w:rPr>
                <w:rFonts w:hint="eastAsia"/>
                <w:sz w:val="24"/>
                <w:szCs w:val="22"/>
              </w:rPr>
              <w:t>商务文件详细评审业绩</w:t>
            </w:r>
          </w:p>
        </w:tc>
      </w:tr>
    </w:tbl>
    <w:p>
      <w:pPr>
        <w:spacing w:line="360" w:lineRule="auto"/>
        <w:ind w:firstLine="480"/>
        <w:rPr>
          <w:rFonts w:ascii="宋体" w:hAnsi="宋体"/>
          <w:sz w:val="24"/>
        </w:rPr>
      </w:pPr>
      <w:r>
        <w:rPr>
          <w:rFonts w:hint="eastAsia" w:cs="宋体"/>
          <w:sz w:val="24"/>
          <w:szCs w:val="21"/>
        </w:rPr>
        <w:t>注：</w:t>
      </w:r>
      <w:r>
        <w:rPr>
          <w:kern w:val="0"/>
          <w:sz w:val="24"/>
        </w:rPr>
        <w:t>投标人应根据招标文件第二章</w:t>
      </w:r>
      <w:r>
        <w:rPr>
          <w:rFonts w:hint="eastAsia" w:ascii="宋体" w:hAnsi="宋体" w:cs="宋体"/>
          <w:kern w:val="0"/>
          <w:sz w:val="24"/>
        </w:rPr>
        <w:t>“投标人须知”</w:t>
      </w:r>
      <w:r>
        <w:rPr>
          <w:kern w:val="0"/>
          <w:sz w:val="24"/>
        </w:rPr>
        <w:t>第3.5.5项的要求在本表后附相关证明材料。</w:t>
      </w:r>
    </w:p>
    <w:p>
      <w:pPr>
        <w:widowControl/>
        <w:ind w:firstLine="0" w:firstLineChars="0"/>
        <w:jc w:val="left"/>
        <w:rPr>
          <w:rFonts w:hAnsi="宋体"/>
          <w:b/>
          <w:bCs/>
          <w:sz w:val="28"/>
          <w:szCs w:val="32"/>
        </w:rPr>
      </w:pPr>
      <w:r>
        <w:rPr>
          <w:rFonts w:hAnsi="宋体"/>
          <w:b/>
          <w:bCs/>
          <w:sz w:val="28"/>
          <w:szCs w:val="32"/>
        </w:rPr>
        <w:br w:type="page"/>
      </w:r>
    </w:p>
    <w:bookmarkEnd w:id="728"/>
    <w:bookmarkEnd w:id="729"/>
    <w:bookmarkEnd w:id="730"/>
    <w:p>
      <w:pPr>
        <w:autoSpaceDE w:val="0"/>
        <w:autoSpaceDN w:val="0"/>
        <w:adjustRightInd w:val="0"/>
        <w:snapToGrid w:val="0"/>
        <w:spacing w:line="360" w:lineRule="auto"/>
        <w:ind w:firstLine="0" w:firstLineChars="0"/>
        <w:rPr>
          <w:rFonts w:ascii="宋体" w:hAnsi="宋体"/>
          <w:szCs w:val="22"/>
        </w:rPr>
      </w:pPr>
    </w:p>
    <w:p>
      <w:pPr>
        <w:autoSpaceDE w:val="0"/>
        <w:autoSpaceDN w:val="0"/>
        <w:adjustRightInd w:val="0"/>
        <w:snapToGrid w:val="0"/>
        <w:spacing w:line="360" w:lineRule="auto"/>
        <w:ind w:firstLine="0" w:firstLineChars="0"/>
        <w:jc w:val="center"/>
        <w:rPr>
          <w:rFonts w:ascii="宋体" w:hAnsi="宋体"/>
          <w:snapToGrid w:val="0"/>
          <w:kern w:val="0"/>
          <w:sz w:val="20"/>
          <w:szCs w:val="22"/>
        </w:rPr>
      </w:pPr>
      <w:r>
        <w:rPr>
          <w:rFonts w:hint="eastAsia" w:ascii="黑体" w:hAnsi="黑体" w:eastAsia="黑体"/>
          <w:sz w:val="24"/>
        </w:rPr>
        <w:t>九、其他资料</w:t>
      </w:r>
    </w:p>
    <w:p>
      <w:pPr>
        <w:tabs>
          <w:tab w:val="left" w:pos="5760"/>
        </w:tabs>
        <w:autoSpaceDE w:val="0"/>
        <w:autoSpaceDN w:val="0"/>
        <w:adjustRightInd w:val="0"/>
        <w:spacing w:line="300" w:lineRule="exact"/>
        <w:ind w:right="11" w:firstLine="480"/>
        <w:rPr>
          <w:rFonts w:ascii="宋体" w:hAnsi="宋体"/>
          <w:sz w:val="24"/>
        </w:rPr>
      </w:pPr>
      <w:r>
        <w:rPr>
          <w:rFonts w:hint="eastAsia" w:ascii="宋体" w:hAnsi="宋体"/>
          <w:sz w:val="24"/>
        </w:rPr>
        <w:t>投标人对照评标办法要求，自行提供其他相关资料（如有）</w:t>
      </w: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420"/>
        <w:rPr>
          <w:rFonts w:ascii="宋体" w:hAnsi="宋体"/>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562"/>
        <w:rPr>
          <w:rFonts w:ascii="宋体" w:hAnsi="宋体"/>
          <w:b/>
          <w:sz w:val="28"/>
          <w:szCs w:val="22"/>
        </w:rPr>
      </w:pPr>
    </w:p>
    <w:p>
      <w:pPr>
        <w:tabs>
          <w:tab w:val="left" w:pos="5760"/>
        </w:tabs>
        <w:autoSpaceDE w:val="0"/>
        <w:autoSpaceDN w:val="0"/>
        <w:adjustRightInd w:val="0"/>
        <w:spacing w:line="300" w:lineRule="exact"/>
        <w:ind w:right="11" w:firstLine="482"/>
        <w:rPr>
          <w:rFonts w:ascii="宋体" w:hAnsi="宋体"/>
          <w:b/>
          <w:sz w:val="24"/>
        </w:rPr>
      </w:pPr>
    </w:p>
    <w:p>
      <w:pPr>
        <w:spacing w:line="510" w:lineRule="exact"/>
        <w:ind w:firstLine="0" w:firstLineChars="0"/>
        <w:jc w:val="left"/>
        <w:rPr>
          <w:sz w:val="24"/>
        </w:rPr>
      </w:pPr>
      <w:r>
        <w:rPr>
          <w:rFonts w:hint="eastAsia" w:ascii="宋体" w:hAnsi="宋体"/>
          <w:sz w:val="24"/>
        </w:rPr>
        <w:t>注：对照评标办法要求，由投标人自行提供相关证明。如证明或声明与实际不符，将被取消投标或中标资格，其投标保证金按规定予以处理。</w:t>
      </w:r>
    </w:p>
    <w:p>
      <w:pPr>
        <w:ind w:firstLine="0" w:firstLineChars="0"/>
        <w:rPr>
          <w:sz w:val="24"/>
          <w:u w:val="single"/>
        </w:rPr>
      </w:pPr>
      <w:r>
        <w:rPr>
          <w:sz w:val="24"/>
        </w:rPr>
        <w:br w:type="page"/>
      </w:r>
    </w:p>
    <w:p>
      <w:pPr>
        <w:autoSpaceDE w:val="0"/>
        <w:autoSpaceDN w:val="0"/>
        <w:adjustRightInd w:val="0"/>
        <w:snapToGrid w:val="0"/>
        <w:spacing w:line="360" w:lineRule="auto"/>
        <w:ind w:firstLine="0" w:firstLineChars="0"/>
        <w:jc w:val="center"/>
        <w:rPr>
          <w:kern w:val="0"/>
          <w:sz w:val="24"/>
          <w:szCs w:val="22"/>
        </w:rPr>
      </w:pPr>
    </w:p>
    <w:p>
      <w:pPr>
        <w:autoSpaceDE w:val="0"/>
        <w:autoSpaceDN w:val="0"/>
        <w:adjustRightInd w:val="0"/>
        <w:snapToGrid w:val="0"/>
        <w:spacing w:line="360" w:lineRule="auto"/>
        <w:ind w:firstLine="0" w:firstLineChars="0"/>
        <w:jc w:val="center"/>
        <w:rPr>
          <w:kern w:val="0"/>
          <w:sz w:val="24"/>
          <w:szCs w:val="22"/>
        </w:rPr>
      </w:pPr>
    </w:p>
    <w:p>
      <w:pPr>
        <w:tabs>
          <w:tab w:val="left" w:pos="3395"/>
          <w:tab w:val="left" w:pos="5940"/>
        </w:tabs>
        <w:autoSpaceDE w:val="0"/>
        <w:autoSpaceDN w:val="0"/>
        <w:adjustRightInd w:val="0"/>
        <w:snapToGrid w:val="0"/>
        <w:spacing w:line="360" w:lineRule="auto"/>
        <w:ind w:firstLine="1273" w:firstLineChars="398"/>
        <w:jc w:val="left"/>
        <w:rPr>
          <w:rFonts w:ascii="黑体" w:hAnsi="黑体" w:eastAsia="黑体"/>
          <w:b/>
          <w:bCs/>
          <w:kern w:val="0"/>
          <w:sz w:val="28"/>
          <w:szCs w:val="22"/>
        </w:rPr>
      </w:pPr>
      <w:r>
        <w:rPr>
          <w:rFonts w:hint="eastAsia" w:ascii="黑体" w:hAnsi="黑体" w:eastAsia="黑体"/>
          <w:sz w:val="32"/>
          <w:szCs w:val="32"/>
          <w:u w:val="single"/>
        </w:rPr>
        <w:t xml:space="preserve">             </w:t>
      </w:r>
      <w:r>
        <w:rPr>
          <w:rFonts w:hint="eastAsia" w:ascii="黑体" w:hAnsi="黑体" w:eastAsia="黑体"/>
          <w:sz w:val="28"/>
          <w:szCs w:val="28"/>
        </w:rPr>
        <w:t>（项目名称）</w:t>
      </w:r>
      <w:r>
        <w:rPr>
          <w:rFonts w:hint="eastAsia" w:ascii="黑体" w:hAnsi="黑体" w:eastAsia="黑体"/>
          <w:sz w:val="28"/>
          <w:szCs w:val="28"/>
          <w:u w:val="single"/>
        </w:rPr>
        <w:t xml:space="preserve">      </w:t>
      </w:r>
      <w:r>
        <w:rPr>
          <w:rFonts w:hint="eastAsia" w:ascii="黑体" w:hAnsi="黑体" w:eastAsia="黑体"/>
          <w:sz w:val="28"/>
          <w:szCs w:val="28"/>
        </w:rPr>
        <w:t>标段施工招标</w:t>
      </w:r>
    </w:p>
    <w:p>
      <w:pPr>
        <w:tabs>
          <w:tab w:val="left" w:pos="3600"/>
          <w:tab w:val="left" w:pos="4480"/>
          <w:tab w:val="left" w:pos="5360"/>
        </w:tabs>
        <w:autoSpaceDE w:val="0"/>
        <w:autoSpaceDN w:val="0"/>
        <w:adjustRightInd w:val="0"/>
        <w:snapToGrid w:val="0"/>
        <w:spacing w:line="360" w:lineRule="auto"/>
        <w:ind w:firstLine="880"/>
        <w:jc w:val="left"/>
        <w:rPr>
          <w:rFonts w:ascii="宋体" w:hAnsi="宋体"/>
          <w:kern w:val="0"/>
          <w:sz w:val="44"/>
          <w:szCs w:val="22"/>
        </w:rPr>
      </w:pPr>
    </w:p>
    <w:p>
      <w:pPr>
        <w:spacing w:beforeLines="100"/>
        <w:ind w:firstLine="880"/>
        <w:jc w:val="center"/>
        <w:rPr>
          <w:rFonts w:ascii="黑体" w:eastAsia="黑体"/>
          <w:sz w:val="44"/>
          <w:szCs w:val="44"/>
        </w:rPr>
      </w:pPr>
    </w:p>
    <w:p>
      <w:pPr>
        <w:pStyle w:val="5"/>
        <w:jc w:val="center"/>
        <w:rPr>
          <w:rFonts w:ascii="黑体" w:hAnsi="黑体"/>
          <w:bCs w:val="0"/>
          <w:kern w:val="0"/>
          <w:sz w:val="36"/>
          <w:szCs w:val="22"/>
        </w:rPr>
      </w:pPr>
      <w:bookmarkStart w:id="763" w:name="_Toc12694"/>
      <w:bookmarkStart w:id="764" w:name="_Toc98148227"/>
      <w:bookmarkStart w:id="765" w:name="_Toc131087949"/>
      <w:bookmarkStart w:id="766" w:name="_Toc138689466"/>
      <w:r>
        <w:rPr>
          <w:rFonts w:hint="eastAsia" w:ascii="黑体" w:hAnsi="黑体"/>
          <w:sz w:val="44"/>
          <w:szCs w:val="44"/>
        </w:rPr>
        <w:t>投标文件</w:t>
      </w:r>
      <w:r>
        <w:rPr>
          <w:rFonts w:ascii="黑体" w:hAnsi="黑体"/>
          <w:sz w:val="44"/>
          <w:szCs w:val="44"/>
        </w:rPr>
        <w:br w:type="textWrapping"/>
      </w:r>
      <w:r>
        <w:rPr>
          <w:rFonts w:hint="eastAsia" w:ascii="黑体" w:hAnsi="黑体"/>
          <w:bCs w:val="0"/>
          <w:kern w:val="0"/>
          <w:sz w:val="36"/>
          <w:szCs w:val="22"/>
        </w:rPr>
        <w:t>（技术文件）</w:t>
      </w:r>
      <w:bookmarkEnd w:id="763"/>
      <w:bookmarkEnd w:id="764"/>
      <w:bookmarkEnd w:id="765"/>
      <w:bookmarkEnd w:id="766"/>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spacing w:line="360" w:lineRule="auto"/>
        <w:ind w:firstLine="560"/>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ind w:firstLine="560"/>
        <w:jc w:val="center"/>
        <w:rPr>
          <w:rFonts w:ascii="黑体" w:eastAsia="黑体"/>
          <w:sz w:val="28"/>
          <w:szCs w:val="28"/>
        </w:rPr>
      </w:pPr>
    </w:p>
    <w:p>
      <w:pPr>
        <w:tabs>
          <w:tab w:val="left" w:pos="3280"/>
          <w:tab w:val="left" w:pos="4680"/>
          <w:tab w:val="left" w:pos="6080"/>
        </w:tabs>
        <w:autoSpaceDE w:val="0"/>
        <w:autoSpaceDN w:val="0"/>
        <w:adjustRightInd w:val="0"/>
        <w:snapToGrid w:val="0"/>
        <w:spacing w:line="480" w:lineRule="auto"/>
        <w:ind w:firstLine="560"/>
        <w:jc w:val="center"/>
        <w:rPr>
          <w:rFonts w:ascii="宋体" w:hAnsi="宋体"/>
          <w:b/>
          <w:bCs/>
          <w:w w:val="99"/>
          <w:kern w:val="0"/>
          <w:sz w:val="28"/>
          <w:szCs w:val="22"/>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ind w:firstLine="643"/>
        <w:rPr>
          <w:b/>
          <w:bCs/>
          <w:kern w:val="0"/>
          <w:sz w:val="32"/>
          <w:szCs w:val="22"/>
        </w:rPr>
      </w:pPr>
      <w:r>
        <w:rPr>
          <w:rFonts w:hint="eastAsia"/>
          <w:b/>
          <w:bCs/>
          <w:kern w:val="0"/>
          <w:sz w:val="32"/>
          <w:szCs w:val="22"/>
        </w:rPr>
        <w:br w:type="page"/>
      </w:r>
    </w:p>
    <w:p>
      <w:pPr>
        <w:autoSpaceDE w:val="0"/>
        <w:autoSpaceDN w:val="0"/>
        <w:adjustRightInd w:val="0"/>
        <w:snapToGrid w:val="0"/>
        <w:spacing w:line="360" w:lineRule="auto"/>
        <w:ind w:firstLine="0" w:firstLineChars="0"/>
        <w:jc w:val="center"/>
        <w:rPr>
          <w:b/>
          <w:bCs/>
          <w:kern w:val="0"/>
          <w:sz w:val="32"/>
          <w:szCs w:val="22"/>
        </w:rPr>
      </w:pPr>
      <w:r>
        <w:rPr>
          <w:rFonts w:hint="eastAsia"/>
          <w:b/>
          <w:bCs/>
          <w:kern w:val="0"/>
          <w:sz w:val="32"/>
          <w:szCs w:val="22"/>
        </w:rPr>
        <w:t>目录</w:t>
      </w:r>
    </w:p>
    <w:p>
      <w:pPr>
        <w:autoSpaceDE w:val="0"/>
        <w:autoSpaceDN w:val="0"/>
        <w:adjustRightInd w:val="0"/>
        <w:snapToGrid w:val="0"/>
        <w:spacing w:line="360" w:lineRule="auto"/>
        <w:ind w:firstLine="420" w:firstLineChars="0"/>
        <w:rPr>
          <w:kern w:val="0"/>
          <w:sz w:val="24"/>
        </w:rPr>
      </w:pPr>
      <w:r>
        <w:rPr>
          <w:rFonts w:hint="eastAsia"/>
          <w:kern w:val="0"/>
          <w:sz w:val="24"/>
        </w:rPr>
        <w:t>一、施工组织设计（其内容和目录由投标人根据招标文件要求自行编制）</w:t>
      </w:r>
    </w:p>
    <w:p>
      <w:pPr>
        <w:autoSpaceDE w:val="0"/>
        <w:autoSpaceDN w:val="0"/>
        <w:adjustRightInd w:val="0"/>
        <w:snapToGrid w:val="0"/>
        <w:spacing w:line="360" w:lineRule="auto"/>
        <w:ind w:firstLine="420" w:firstLineChars="0"/>
        <w:rPr>
          <w:kern w:val="0"/>
          <w:sz w:val="24"/>
        </w:rPr>
      </w:pPr>
      <w:r>
        <w:rPr>
          <w:rFonts w:hint="eastAsia"/>
          <w:kern w:val="0"/>
          <w:sz w:val="24"/>
        </w:rPr>
        <w:t>二、其他资料</w:t>
      </w:r>
    </w:p>
    <w:p>
      <w:pPr>
        <w:tabs>
          <w:tab w:val="left" w:pos="2580"/>
          <w:tab w:val="left" w:pos="5940"/>
        </w:tabs>
        <w:autoSpaceDE w:val="0"/>
        <w:autoSpaceDN w:val="0"/>
        <w:adjustRightInd w:val="0"/>
        <w:snapToGrid w:val="0"/>
        <w:spacing w:line="360" w:lineRule="auto"/>
        <w:ind w:firstLine="0" w:firstLineChars="0"/>
        <w:jc w:val="center"/>
        <w:rPr>
          <w:b/>
          <w:bCs/>
          <w:sz w:val="28"/>
          <w:szCs w:val="22"/>
        </w:rPr>
      </w:pPr>
    </w:p>
    <w:p>
      <w:pPr>
        <w:tabs>
          <w:tab w:val="left" w:pos="2580"/>
          <w:tab w:val="left" w:pos="5940"/>
        </w:tabs>
        <w:autoSpaceDE w:val="0"/>
        <w:autoSpaceDN w:val="0"/>
        <w:adjustRightInd w:val="0"/>
        <w:snapToGrid w:val="0"/>
        <w:spacing w:line="400" w:lineRule="exact"/>
        <w:ind w:firstLine="0" w:firstLineChars="0"/>
        <w:jc w:val="center"/>
        <w:rPr>
          <w:b/>
          <w:bCs/>
          <w:sz w:val="28"/>
          <w:szCs w:val="22"/>
        </w:rPr>
      </w:pPr>
    </w:p>
    <w:p>
      <w:pPr>
        <w:tabs>
          <w:tab w:val="left" w:pos="2580"/>
          <w:tab w:val="left" w:pos="5940"/>
        </w:tabs>
        <w:autoSpaceDE w:val="0"/>
        <w:autoSpaceDN w:val="0"/>
        <w:adjustRightInd w:val="0"/>
        <w:snapToGrid w:val="0"/>
        <w:spacing w:line="400" w:lineRule="exact"/>
        <w:ind w:firstLine="0" w:firstLineChars="0"/>
        <w:jc w:val="center"/>
        <w:rPr>
          <w:b/>
          <w:bCs/>
          <w:sz w:val="28"/>
          <w:szCs w:val="22"/>
        </w:rPr>
      </w:pPr>
    </w:p>
    <w:p>
      <w:pPr>
        <w:tabs>
          <w:tab w:val="left" w:pos="2580"/>
          <w:tab w:val="left" w:pos="5940"/>
        </w:tabs>
        <w:autoSpaceDE w:val="0"/>
        <w:autoSpaceDN w:val="0"/>
        <w:adjustRightInd w:val="0"/>
        <w:snapToGrid w:val="0"/>
        <w:spacing w:line="400" w:lineRule="exact"/>
        <w:ind w:firstLine="0" w:firstLineChars="0"/>
        <w:jc w:val="center"/>
        <w:rPr>
          <w:b/>
          <w:bCs/>
          <w:sz w:val="28"/>
          <w:szCs w:val="22"/>
        </w:rPr>
      </w:pPr>
    </w:p>
    <w:p>
      <w:pPr>
        <w:tabs>
          <w:tab w:val="left" w:pos="2580"/>
          <w:tab w:val="left" w:pos="5940"/>
        </w:tabs>
        <w:autoSpaceDE w:val="0"/>
        <w:autoSpaceDN w:val="0"/>
        <w:adjustRightInd w:val="0"/>
        <w:snapToGrid w:val="0"/>
        <w:spacing w:line="400" w:lineRule="exact"/>
        <w:ind w:firstLine="0" w:firstLineChars="0"/>
        <w:rPr>
          <w:b/>
          <w:bCs/>
          <w:sz w:val="28"/>
          <w:szCs w:val="22"/>
        </w:rPr>
      </w:pPr>
    </w:p>
    <w:p>
      <w:pPr>
        <w:ind w:firstLine="0" w:firstLineChars="0"/>
      </w:pPr>
    </w:p>
    <w:p>
      <w:pPr>
        <w:spacing w:line="440" w:lineRule="exact"/>
        <w:ind w:firstLine="643"/>
        <w:rPr>
          <w:sz w:val="24"/>
        </w:rPr>
      </w:pPr>
      <w:r>
        <w:rPr>
          <w:b/>
          <w:kern w:val="0"/>
          <w:sz w:val="32"/>
          <w:szCs w:val="32"/>
        </w:rPr>
        <w:br w:type="page"/>
      </w:r>
    </w:p>
    <w:p>
      <w:pPr>
        <w:keepNext/>
        <w:keepLines/>
        <w:spacing w:beforeLines="100" w:afterLines="100"/>
        <w:ind w:firstLine="0" w:firstLineChars="0"/>
        <w:jc w:val="center"/>
        <w:outlineLvl w:val="2"/>
        <w:rPr>
          <w:rFonts w:eastAsia="黑体"/>
          <w:bCs/>
          <w:sz w:val="24"/>
          <w:szCs w:val="32"/>
        </w:rPr>
      </w:pPr>
      <w:bookmarkStart w:id="767" w:name="_Toc29987"/>
      <w:bookmarkStart w:id="768" w:name="_Toc138689469"/>
      <w:bookmarkStart w:id="769" w:name="_Toc2350"/>
      <w:bookmarkStart w:id="770" w:name="_Toc26657105"/>
      <w:bookmarkStart w:id="771" w:name="_Toc53665228"/>
      <w:bookmarkStart w:id="772" w:name="_Toc131087958"/>
      <w:bookmarkStart w:id="773" w:name="_Toc76375446"/>
      <w:bookmarkStart w:id="774" w:name="_Toc133311820"/>
      <w:bookmarkStart w:id="775" w:name="_Toc98148236"/>
      <w:bookmarkStart w:id="776" w:name="_Toc36562905"/>
      <w:r>
        <w:rPr>
          <w:rFonts w:eastAsia="黑体"/>
          <w:bCs/>
          <w:sz w:val="24"/>
          <w:szCs w:val="32"/>
        </w:rPr>
        <w:t>一、施工组织设计</w:t>
      </w:r>
      <w:bookmarkEnd w:id="767"/>
      <w:bookmarkEnd w:id="768"/>
      <w:bookmarkEnd w:id="769"/>
      <w:bookmarkEnd w:id="770"/>
    </w:p>
    <w:p>
      <w:pPr>
        <w:spacing w:beforeLines="100" w:afterLines="100"/>
        <w:ind w:firstLine="0" w:firstLineChars="0"/>
        <w:jc w:val="center"/>
        <w:outlineLvl w:val="2"/>
        <w:rPr>
          <w:rFonts w:eastAsia="黑体"/>
          <w:bCs/>
          <w:sz w:val="24"/>
          <w:szCs w:val="32"/>
          <w:highlight w:val="none"/>
          <w:lang w:val="zh-CN"/>
        </w:rPr>
      </w:pPr>
      <w:bookmarkStart w:id="777" w:name="_Toc138689470"/>
      <w:r>
        <w:rPr>
          <w:rFonts w:eastAsia="黑体"/>
          <w:bCs/>
          <w:sz w:val="24"/>
          <w:szCs w:val="32"/>
          <w:highlight w:val="none"/>
          <w:lang w:val="zh-CN"/>
        </w:rPr>
        <w:t>（适用于技术评分最低标价法和综合评分法）</w:t>
      </w:r>
      <w:bookmarkEnd w:id="777"/>
    </w:p>
    <w:p>
      <w:pPr>
        <w:spacing w:line="360" w:lineRule="auto"/>
        <w:ind w:firstLineChars="0"/>
        <w:jc w:val="center"/>
        <w:rPr>
          <w:sz w:val="24"/>
        </w:rPr>
      </w:pPr>
    </w:p>
    <w:p>
      <w:pPr>
        <w:spacing w:line="360" w:lineRule="auto"/>
        <w:ind w:firstLine="480"/>
        <w:rPr>
          <w:sz w:val="24"/>
        </w:rPr>
      </w:pPr>
      <w:r>
        <w:rPr>
          <w:sz w:val="24"/>
        </w:rPr>
        <w:t>1. 投标人应</w:t>
      </w:r>
      <w:r>
        <w:rPr>
          <w:rFonts w:hint="eastAsia"/>
          <w:sz w:val="24"/>
        </w:rPr>
        <w:t>按照</w:t>
      </w:r>
      <w:r>
        <w:rPr>
          <w:sz w:val="24"/>
        </w:rPr>
        <w:t>以下要点编制施工组织设计（文字宜精炼、内容具有针对性）：</w:t>
      </w:r>
    </w:p>
    <w:p>
      <w:pPr>
        <w:spacing w:line="360" w:lineRule="auto"/>
        <w:ind w:firstLine="480"/>
        <w:rPr>
          <w:sz w:val="24"/>
        </w:rPr>
      </w:pPr>
      <w:r>
        <w:rPr>
          <w:sz w:val="24"/>
        </w:rPr>
        <w:t>（1）总体施工组织布置及规划</w:t>
      </w:r>
    </w:p>
    <w:p>
      <w:pPr>
        <w:spacing w:line="360" w:lineRule="auto"/>
        <w:ind w:firstLine="480"/>
        <w:rPr>
          <w:sz w:val="24"/>
        </w:rPr>
      </w:pPr>
      <w:r>
        <w:rPr>
          <w:sz w:val="24"/>
        </w:rPr>
        <w:t>（2）主要工程项目的施工方案、方法与技术措施（尤其对重点、关键和难点工程的施工方案、方法及措施）</w:t>
      </w:r>
    </w:p>
    <w:p>
      <w:pPr>
        <w:spacing w:line="360" w:lineRule="auto"/>
        <w:ind w:firstLine="480"/>
        <w:rPr>
          <w:sz w:val="24"/>
        </w:rPr>
      </w:pPr>
      <w:r>
        <w:rPr>
          <w:sz w:val="24"/>
        </w:rPr>
        <w:t>（3）工期保证体系及保证措施</w:t>
      </w:r>
    </w:p>
    <w:p>
      <w:pPr>
        <w:spacing w:line="360" w:lineRule="auto"/>
        <w:ind w:firstLine="480"/>
        <w:rPr>
          <w:sz w:val="24"/>
        </w:rPr>
      </w:pPr>
      <w:r>
        <w:rPr>
          <w:sz w:val="24"/>
        </w:rPr>
        <w:t>（4）工程质量管理体系及保证措施</w:t>
      </w:r>
    </w:p>
    <w:p>
      <w:pPr>
        <w:spacing w:line="360" w:lineRule="auto"/>
        <w:ind w:firstLine="480"/>
        <w:rPr>
          <w:sz w:val="24"/>
        </w:rPr>
      </w:pPr>
      <w:r>
        <w:rPr>
          <w:sz w:val="24"/>
        </w:rPr>
        <w:t>（5）安全生产管理体系及保证措施</w:t>
      </w:r>
    </w:p>
    <w:p>
      <w:pPr>
        <w:spacing w:line="360" w:lineRule="auto"/>
        <w:ind w:firstLine="480"/>
        <w:rPr>
          <w:sz w:val="24"/>
        </w:rPr>
      </w:pPr>
      <w:r>
        <w:rPr>
          <w:sz w:val="24"/>
        </w:rPr>
        <w:t>（6）环境保护、水土保持保证体系及保证措施</w:t>
      </w:r>
    </w:p>
    <w:p>
      <w:pPr>
        <w:spacing w:line="360" w:lineRule="auto"/>
        <w:ind w:firstLine="480"/>
        <w:rPr>
          <w:sz w:val="24"/>
        </w:rPr>
      </w:pPr>
      <w:r>
        <w:rPr>
          <w:sz w:val="24"/>
        </w:rPr>
        <w:t>（7）文明施工、文物保护保证体系及保证措施</w:t>
      </w:r>
    </w:p>
    <w:p>
      <w:pPr>
        <w:spacing w:line="360" w:lineRule="auto"/>
        <w:ind w:firstLine="480"/>
        <w:rPr>
          <w:sz w:val="24"/>
        </w:rPr>
      </w:pPr>
      <w:r>
        <w:rPr>
          <w:sz w:val="24"/>
        </w:rPr>
        <w:t>（8）项目风险预测与防范，事故应急预案</w:t>
      </w:r>
    </w:p>
    <w:p>
      <w:pPr>
        <w:spacing w:line="360" w:lineRule="auto"/>
        <w:ind w:firstLine="480"/>
        <w:rPr>
          <w:sz w:val="24"/>
        </w:rPr>
      </w:pPr>
      <w:r>
        <w:rPr>
          <w:sz w:val="24"/>
        </w:rPr>
        <w:t>（9）其他应说明的事项</w:t>
      </w:r>
    </w:p>
    <w:p>
      <w:pPr>
        <w:spacing w:line="360" w:lineRule="auto"/>
        <w:ind w:firstLine="480"/>
        <w:rPr>
          <w:sz w:val="24"/>
        </w:rPr>
      </w:pPr>
      <w:r>
        <w:rPr>
          <w:sz w:val="24"/>
        </w:rPr>
        <w:t>2. 施工组织设计除采用文字表述外可附下列图表，图表及格式要求附后。</w:t>
      </w:r>
    </w:p>
    <w:p>
      <w:pPr>
        <w:spacing w:line="360" w:lineRule="auto"/>
        <w:ind w:firstLine="480"/>
        <w:rPr>
          <w:sz w:val="24"/>
        </w:rPr>
      </w:pPr>
      <w:r>
        <w:rPr>
          <w:sz w:val="24"/>
        </w:rPr>
        <w:t>附表一  施工总体计划表</w:t>
      </w:r>
    </w:p>
    <w:p>
      <w:pPr>
        <w:spacing w:line="360" w:lineRule="auto"/>
        <w:ind w:firstLine="480"/>
        <w:rPr>
          <w:sz w:val="24"/>
        </w:rPr>
      </w:pPr>
      <w:r>
        <w:rPr>
          <w:sz w:val="24"/>
        </w:rPr>
        <w:t>附表二  分项工程进度率计划（斜率图）</w:t>
      </w:r>
    </w:p>
    <w:p>
      <w:pPr>
        <w:spacing w:line="360" w:lineRule="auto"/>
        <w:ind w:firstLine="480"/>
        <w:rPr>
          <w:sz w:val="24"/>
        </w:rPr>
      </w:pPr>
      <w:r>
        <w:rPr>
          <w:sz w:val="24"/>
        </w:rPr>
        <w:t>附表三  工程管理曲线</w:t>
      </w:r>
    </w:p>
    <w:p>
      <w:pPr>
        <w:spacing w:line="360" w:lineRule="auto"/>
        <w:ind w:firstLine="480"/>
        <w:rPr>
          <w:sz w:val="24"/>
        </w:rPr>
      </w:pPr>
      <w:r>
        <w:rPr>
          <w:sz w:val="24"/>
        </w:rPr>
        <w:t>附表四  分项工程生产率和施工周期表</w:t>
      </w:r>
    </w:p>
    <w:p>
      <w:pPr>
        <w:spacing w:line="360" w:lineRule="auto"/>
        <w:ind w:firstLine="480"/>
        <w:rPr>
          <w:sz w:val="24"/>
        </w:rPr>
      </w:pPr>
      <w:r>
        <w:rPr>
          <w:sz w:val="24"/>
        </w:rPr>
        <w:t>附表五  施工总平面图</w:t>
      </w:r>
    </w:p>
    <w:p>
      <w:pPr>
        <w:spacing w:line="360" w:lineRule="auto"/>
        <w:ind w:firstLine="480"/>
        <w:rPr>
          <w:sz w:val="24"/>
        </w:rPr>
      </w:pPr>
      <w:r>
        <w:rPr>
          <w:sz w:val="24"/>
        </w:rPr>
        <w:t xml:space="preserve">附表六  劳动力计划表     </w:t>
      </w:r>
    </w:p>
    <w:p>
      <w:pPr>
        <w:spacing w:line="360" w:lineRule="auto"/>
        <w:ind w:firstLine="480"/>
        <w:rPr>
          <w:sz w:val="24"/>
        </w:rPr>
      </w:pPr>
      <w:r>
        <w:rPr>
          <w:sz w:val="24"/>
        </w:rPr>
        <w:t>附表七  临时占地计划表</w:t>
      </w:r>
    </w:p>
    <w:p>
      <w:pPr>
        <w:spacing w:line="360" w:lineRule="auto"/>
        <w:ind w:firstLine="480"/>
        <w:rPr>
          <w:sz w:val="24"/>
        </w:rPr>
      </w:pPr>
      <w:r>
        <w:rPr>
          <w:sz w:val="24"/>
        </w:rPr>
        <w:t>附表八  外供电力需求计划表</w:t>
      </w:r>
    </w:p>
    <w:p>
      <w:pPr>
        <w:spacing w:line="360" w:lineRule="auto"/>
        <w:ind w:firstLine="480"/>
        <w:rPr>
          <w:sz w:val="24"/>
        </w:rPr>
      </w:pPr>
    </w:p>
    <w:p>
      <w:pPr>
        <w:spacing w:line="360" w:lineRule="auto"/>
        <w:ind w:firstLine="0" w:firstLineChars="0"/>
        <w:rPr>
          <w:sz w:val="24"/>
        </w:rPr>
        <w:sectPr>
          <w:headerReference r:id="rId14" w:type="default"/>
          <w:footerReference r:id="rId15" w:type="default"/>
          <w:footnotePr>
            <w:numFmt w:val="decimalEnclosedCircleChinese"/>
            <w:numRestart w:val="eachPage"/>
          </w:footnotePr>
          <w:pgSz w:w="11907" w:h="16840"/>
          <w:pgMar w:top="1440" w:right="1803" w:bottom="1440" w:left="1803" w:header="851" w:footer="850" w:gutter="0"/>
          <w:cols w:space="0" w:num="1"/>
          <w:docGrid w:linePitch="326" w:charSpace="0"/>
        </w:sectPr>
      </w:pPr>
    </w:p>
    <w:p>
      <w:pPr>
        <w:spacing w:line="360" w:lineRule="auto"/>
        <w:ind w:firstLine="0" w:firstLineChars="0"/>
        <w:rPr>
          <w:b/>
          <w:sz w:val="24"/>
        </w:rPr>
      </w:pPr>
      <w:bookmarkStart w:id="778" w:name="_Toc9960"/>
      <w:bookmarkStart w:id="779" w:name="_Toc26657106"/>
      <w:r>
        <w:rPr>
          <w:b/>
          <w:sz w:val="24"/>
        </w:rPr>
        <w:t>附表一 施工总体计划表</w:t>
      </w:r>
      <w:bookmarkEnd w:id="778"/>
      <w:bookmarkEnd w:id="779"/>
    </w:p>
    <w:tbl>
      <w:tblPr>
        <w:tblStyle w:val="5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424"/>
        <w:gridCol w:w="424"/>
        <w:gridCol w:w="425"/>
        <w:gridCol w:w="424"/>
        <w:gridCol w:w="424"/>
        <w:gridCol w:w="425"/>
        <w:gridCol w:w="424"/>
        <w:gridCol w:w="425"/>
        <w:gridCol w:w="424"/>
        <w:gridCol w:w="424"/>
        <w:gridCol w:w="425"/>
        <w:gridCol w:w="424"/>
        <w:gridCol w:w="424"/>
        <w:gridCol w:w="425"/>
        <w:gridCol w:w="424"/>
        <w:gridCol w:w="425"/>
        <w:gridCol w:w="424"/>
        <w:gridCol w:w="424"/>
        <w:gridCol w:w="425"/>
        <w:gridCol w:w="424"/>
        <w:gridCol w:w="424"/>
        <w:gridCol w:w="425"/>
        <w:gridCol w:w="424"/>
        <w:gridCol w:w="425"/>
        <w:gridCol w:w="357"/>
        <w:gridCol w:w="357"/>
        <w:gridCol w:w="357"/>
        <w:gridCol w:w="357"/>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5" w:type="dxa"/>
            <w:vAlign w:val="center"/>
          </w:tcPr>
          <w:p>
            <w:pPr>
              <w:autoSpaceDE w:val="0"/>
              <w:autoSpaceDN w:val="0"/>
              <w:spacing w:line="360" w:lineRule="atLeast"/>
              <w:ind w:left="-57" w:right="-57" w:firstLine="0" w:firstLineChars="0"/>
              <w:jc w:val="center"/>
              <w:rPr>
                <w:sz w:val="20"/>
                <w:szCs w:val="20"/>
              </w:rPr>
            </w:pPr>
            <w:r>
              <w:rPr>
                <w:sz w:val="20"/>
                <w:szCs w:val="20"/>
              </w:rPr>
              <w:t>年      度</w:t>
            </w:r>
          </w:p>
        </w:tc>
        <w:tc>
          <w:tcPr>
            <w:tcW w:w="5092" w:type="dxa"/>
            <w:gridSpan w:val="12"/>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u w:val="single"/>
              </w:rPr>
              <w:t xml:space="preserve">     </w:t>
            </w:r>
            <w:r>
              <w:rPr>
                <w:sz w:val="20"/>
                <w:szCs w:val="20"/>
              </w:rPr>
              <w:t>年</w:t>
            </w:r>
          </w:p>
        </w:tc>
        <w:tc>
          <w:tcPr>
            <w:tcW w:w="5093" w:type="dxa"/>
            <w:gridSpan w:val="12"/>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u w:val="single"/>
              </w:rPr>
              <w:t xml:space="preserve">     </w:t>
            </w:r>
            <w:r>
              <w:rPr>
                <w:sz w:val="20"/>
                <w:szCs w:val="20"/>
              </w:rPr>
              <w:t>年</w:t>
            </w:r>
          </w:p>
        </w:tc>
        <w:tc>
          <w:tcPr>
            <w:tcW w:w="1785" w:type="dxa"/>
            <w:gridSpan w:val="5"/>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u w:val="single"/>
              </w:rPr>
              <w:t xml:space="preserve">     </w:t>
            </w:r>
            <w:r>
              <w:rPr>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tcBorders>
              <w:right w:val="single" w:color="auto" w:sz="4" w:space="0"/>
              <w:tl2br w:val="single" w:color="auto" w:sz="4" w:space="0"/>
            </w:tcBorders>
          </w:tcPr>
          <w:p>
            <w:pPr>
              <w:autoSpaceDE w:val="0"/>
              <w:autoSpaceDN w:val="0"/>
              <w:spacing w:line="360" w:lineRule="atLeast"/>
              <w:ind w:left="-57" w:right="-57" w:firstLine="0" w:firstLineChars="0"/>
              <w:rPr>
                <w:sz w:val="20"/>
                <w:szCs w:val="20"/>
              </w:rPr>
            </w:pPr>
            <w:r>
              <w:rPr>
                <w:sz w:val="20"/>
                <w:szCs w:val="20"/>
              </w:rPr>
              <w:t>主要工程项目      月份</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1</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2</w:t>
            </w:r>
          </w:p>
        </w:tc>
        <w:tc>
          <w:tcPr>
            <w:tcW w:w="425"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3</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4</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5</w:t>
            </w:r>
          </w:p>
        </w:tc>
        <w:tc>
          <w:tcPr>
            <w:tcW w:w="425"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6</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7</w:t>
            </w:r>
          </w:p>
        </w:tc>
        <w:tc>
          <w:tcPr>
            <w:tcW w:w="425"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8</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9</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10</w:t>
            </w:r>
          </w:p>
        </w:tc>
        <w:tc>
          <w:tcPr>
            <w:tcW w:w="425"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11</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12</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1</w:t>
            </w:r>
          </w:p>
        </w:tc>
        <w:tc>
          <w:tcPr>
            <w:tcW w:w="425"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2</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3</w:t>
            </w:r>
          </w:p>
        </w:tc>
        <w:tc>
          <w:tcPr>
            <w:tcW w:w="425"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4</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5</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6</w:t>
            </w:r>
          </w:p>
        </w:tc>
        <w:tc>
          <w:tcPr>
            <w:tcW w:w="425"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7</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8</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9</w:t>
            </w:r>
          </w:p>
        </w:tc>
        <w:tc>
          <w:tcPr>
            <w:tcW w:w="425"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10</w:t>
            </w:r>
          </w:p>
        </w:tc>
        <w:tc>
          <w:tcPr>
            <w:tcW w:w="424"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11</w:t>
            </w:r>
          </w:p>
        </w:tc>
        <w:tc>
          <w:tcPr>
            <w:tcW w:w="425"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12</w:t>
            </w:r>
          </w:p>
        </w:tc>
        <w:tc>
          <w:tcPr>
            <w:tcW w:w="357"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1</w:t>
            </w:r>
          </w:p>
        </w:tc>
        <w:tc>
          <w:tcPr>
            <w:tcW w:w="357"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2</w:t>
            </w:r>
          </w:p>
        </w:tc>
        <w:tc>
          <w:tcPr>
            <w:tcW w:w="357"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3</w:t>
            </w:r>
          </w:p>
        </w:tc>
        <w:tc>
          <w:tcPr>
            <w:tcW w:w="357"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4</w:t>
            </w:r>
          </w:p>
        </w:tc>
        <w:tc>
          <w:tcPr>
            <w:tcW w:w="357" w:type="dxa"/>
            <w:tcBorders>
              <w:top w:val="single" w:color="auto" w:sz="4" w:space="0"/>
              <w:left w:val="single" w:color="auto" w:sz="4" w:space="0"/>
              <w:bottom w:val="single" w:color="auto" w:sz="4" w:space="0"/>
              <w:right w:val="single" w:color="auto" w:sz="4" w:space="0"/>
            </w:tcBorders>
          </w:tcPr>
          <w:p>
            <w:pPr>
              <w:pBdr>
                <w:bottom w:val="single" w:color="auto" w:sz="6" w:space="1"/>
              </w:pBdr>
              <w:snapToGrid w:val="0"/>
              <w:spacing w:line="360" w:lineRule="atLeast"/>
              <w:ind w:left="-57" w:right="-57" w:firstLine="0" w:firstLineChars="0"/>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Pr>
          <w:p>
            <w:pPr>
              <w:autoSpaceDE w:val="0"/>
              <w:autoSpaceDN w:val="0"/>
              <w:spacing w:line="360" w:lineRule="atLeast"/>
              <w:ind w:left="-57" w:right="-57" w:firstLine="0" w:firstLineChars="0"/>
              <w:rPr>
                <w:sz w:val="20"/>
                <w:szCs w:val="20"/>
              </w:rPr>
            </w:pPr>
            <w:r>
              <w:rPr>
                <w:sz w:val="20"/>
                <w:szCs w:val="20"/>
              </w:rPr>
              <w:t>1.施工准备</w:t>
            </w: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357"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357"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357"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357"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357" w:type="dxa"/>
            <w:tcBorders>
              <w:top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Pr>
          <w:p>
            <w:pPr>
              <w:autoSpaceDE w:val="0"/>
              <w:autoSpaceDN w:val="0"/>
              <w:spacing w:line="360" w:lineRule="atLeast"/>
              <w:ind w:left="-57" w:right="-57" w:firstLine="0" w:firstLineChars="0"/>
              <w:rPr>
                <w:sz w:val="20"/>
                <w:szCs w:val="20"/>
              </w:rPr>
            </w:pPr>
            <w:r>
              <w:rPr>
                <w:sz w:val="20"/>
                <w:szCs w:val="20"/>
              </w:rPr>
              <w:t>2.路基处理</w:t>
            </w: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357" w:type="dxa"/>
          </w:tcPr>
          <w:p>
            <w:pPr>
              <w:pBdr>
                <w:bottom w:val="single" w:color="auto" w:sz="6" w:space="1"/>
              </w:pBdr>
              <w:snapToGrid w:val="0"/>
              <w:spacing w:line="360" w:lineRule="atLeast"/>
              <w:ind w:left="-57" w:right="-57" w:firstLine="0" w:firstLineChars="0"/>
              <w:jc w:val="center"/>
              <w:rPr>
                <w:sz w:val="20"/>
                <w:szCs w:val="20"/>
              </w:rPr>
            </w:pPr>
          </w:p>
        </w:tc>
        <w:tc>
          <w:tcPr>
            <w:tcW w:w="357" w:type="dxa"/>
          </w:tcPr>
          <w:p>
            <w:pPr>
              <w:pBdr>
                <w:bottom w:val="single" w:color="auto" w:sz="6" w:space="1"/>
              </w:pBdr>
              <w:snapToGrid w:val="0"/>
              <w:spacing w:line="360" w:lineRule="atLeast"/>
              <w:ind w:left="-57" w:right="-57" w:firstLine="0" w:firstLineChars="0"/>
              <w:jc w:val="center"/>
              <w:rPr>
                <w:sz w:val="20"/>
                <w:szCs w:val="20"/>
              </w:rPr>
            </w:pPr>
          </w:p>
        </w:tc>
        <w:tc>
          <w:tcPr>
            <w:tcW w:w="357" w:type="dxa"/>
          </w:tcPr>
          <w:p>
            <w:pPr>
              <w:pBdr>
                <w:bottom w:val="single" w:color="auto" w:sz="6" w:space="1"/>
              </w:pBdr>
              <w:snapToGrid w:val="0"/>
              <w:spacing w:line="360" w:lineRule="atLeast"/>
              <w:ind w:left="-57" w:right="-57" w:firstLine="0" w:firstLineChars="0"/>
              <w:jc w:val="center"/>
              <w:rPr>
                <w:sz w:val="20"/>
                <w:szCs w:val="20"/>
              </w:rPr>
            </w:pPr>
          </w:p>
        </w:tc>
        <w:tc>
          <w:tcPr>
            <w:tcW w:w="357" w:type="dxa"/>
          </w:tcPr>
          <w:p>
            <w:pPr>
              <w:pBdr>
                <w:bottom w:val="single" w:color="auto" w:sz="6" w:space="1"/>
              </w:pBdr>
              <w:snapToGrid w:val="0"/>
              <w:spacing w:line="360" w:lineRule="atLeast"/>
              <w:ind w:left="-57" w:right="-57" w:firstLine="0" w:firstLineChars="0"/>
              <w:jc w:val="center"/>
              <w:rPr>
                <w:sz w:val="20"/>
                <w:szCs w:val="20"/>
              </w:rPr>
            </w:pPr>
          </w:p>
        </w:tc>
        <w:tc>
          <w:tcPr>
            <w:tcW w:w="357" w:type="dxa"/>
          </w:tcPr>
          <w:p>
            <w:pPr>
              <w:pBdr>
                <w:bottom w:val="single" w:color="auto" w:sz="6" w:space="1"/>
              </w:pBdr>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Pr>
          <w:p>
            <w:pPr>
              <w:autoSpaceDE w:val="0"/>
              <w:autoSpaceDN w:val="0"/>
              <w:spacing w:line="360" w:lineRule="atLeast"/>
              <w:ind w:left="-57" w:right="-57" w:firstLine="0" w:firstLineChars="0"/>
              <w:rPr>
                <w:sz w:val="20"/>
                <w:szCs w:val="20"/>
              </w:rPr>
            </w:pPr>
            <w:r>
              <w:rPr>
                <w:sz w:val="20"/>
                <w:szCs w:val="20"/>
              </w:rPr>
              <w:t>3.路基填筑</w:t>
            </w: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424" w:type="dxa"/>
          </w:tcPr>
          <w:p>
            <w:pPr>
              <w:pBdr>
                <w:bottom w:val="single" w:color="auto" w:sz="6" w:space="1"/>
              </w:pBdr>
              <w:snapToGrid w:val="0"/>
              <w:spacing w:line="360" w:lineRule="atLeast"/>
              <w:ind w:left="-57" w:right="-57" w:firstLine="0" w:firstLineChars="0"/>
              <w:jc w:val="center"/>
              <w:rPr>
                <w:sz w:val="20"/>
                <w:szCs w:val="20"/>
              </w:rPr>
            </w:pPr>
          </w:p>
        </w:tc>
        <w:tc>
          <w:tcPr>
            <w:tcW w:w="425" w:type="dxa"/>
          </w:tcPr>
          <w:p>
            <w:pPr>
              <w:pBdr>
                <w:bottom w:val="single" w:color="auto" w:sz="6" w:space="1"/>
              </w:pBdr>
              <w:snapToGrid w:val="0"/>
              <w:spacing w:line="360" w:lineRule="atLeast"/>
              <w:ind w:left="-57" w:right="-57" w:firstLine="0" w:firstLineChars="0"/>
              <w:jc w:val="center"/>
              <w:rPr>
                <w:sz w:val="20"/>
                <w:szCs w:val="20"/>
              </w:rPr>
            </w:pPr>
          </w:p>
        </w:tc>
        <w:tc>
          <w:tcPr>
            <w:tcW w:w="357" w:type="dxa"/>
          </w:tcPr>
          <w:p>
            <w:pPr>
              <w:pBdr>
                <w:bottom w:val="single" w:color="auto" w:sz="6" w:space="1"/>
              </w:pBdr>
              <w:snapToGrid w:val="0"/>
              <w:spacing w:line="360" w:lineRule="atLeast"/>
              <w:ind w:left="-57" w:right="-57" w:firstLine="0" w:firstLineChars="0"/>
              <w:jc w:val="center"/>
              <w:rPr>
                <w:sz w:val="20"/>
                <w:szCs w:val="20"/>
              </w:rPr>
            </w:pPr>
          </w:p>
        </w:tc>
        <w:tc>
          <w:tcPr>
            <w:tcW w:w="357" w:type="dxa"/>
          </w:tcPr>
          <w:p>
            <w:pPr>
              <w:pBdr>
                <w:bottom w:val="single" w:color="auto" w:sz="6" w:space="1"/>
              </w:pBdr>
              <w:snapToGrid w:val="0"/>
              <w:spacing w:line="360" w:lineRule="atLeast"/>
              <w:ind w:left="-57" w:right="-57" w:firstLine="0" w:firstLineChars="0"/>
              <w:jc w:val="center"/>
              <w:rPr>
                <w:sz w:val="20"/>
                <w:szCs w:val="20"/>
              </w:rPr>
            </w:pPr>
          </w:p>
        </w:tc>
        <w:tc>
          <w:tcPr>
            <w:tcW w:w="357" w:type="dxa"/>
          </w:tcPr>
          <w:p>
            <w:pPr>
              <w:pBdr>
                <w:bottom w:val="single" w:color="auto" w:sz="6" w:space="1"/>
              </w:pBdr>
              <w:snapToGrid w:val="0"/>
              <w:spacing w:line="360" w:lineRule="atLeast"/>
              <w:ind w:left="-57" w:right="-57" w:firstLine="0" w:firstLineChars="0"/>
              <w:jc w:val="center"/>
              <w:rPr>
                <w:sz w:val="20"/>
                <w:szCs w:val="20"/>
              </w:rPr>
            </w:pPr>
          </w:p>
        </w:tc>
        <w:tc>
          <w:tcPr>
            <w:tcW w:w="357" w:type="dxa"/>
          </w:tcPr>
          <w:p>
            <w:pPr>
              <w:pBdr>
                <w:bottom w:val="single" w:color="auto" w:sz="6" w:space="1"/>
              </w:pBdr>
              <w:snapToGrid w:val="0"/>
              <w:spacing w:line="360" w:lineRule="atLeast"/>
              <w:ind w:left="-57" w:right="-57" w:firstLine="0" w:firstLineChars="0"/>
              <w:jc w:val="center"/>
              <w:rPr>
                <w:sz w:val="20"/>
                <w:szCs w:val="20"/>
              </w:rPr>
            </w:pPr>
          </w:p>
        </w:tc>
        <w:tc>
          <w:tcPr>
            <w:tcW w:w="357" w:type="dxa"/>
          </w:tcPr>
          <w:p>
            <w:pPr>
              <w:pBdr>
                <w:bottom w:val="single" w:color="auto" w:sz="6" w:space="1"/>
              </w:pBdr>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0" w:firstLineChars="0"/>
              <w:rPr>
                <w:sz w:val="20"/>
                <w:szCs w:val="20"/>
              </w:rPr>
            </w:pPr>
            <w:r>
              <w:rPr>
                <w:sz w:val="20"/>
                <w:szCs w:val="20"/>
              </w:rPr>
              <w:t>4.涵洞</w:t>
            </w: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0" w:firstLineChars="0"/>
              <w:rPr>
                <w:sz w:val="20"/>
                <w:szCs w:val="20"/>
              </w:rPr>
            </w:pPr>
            <w:r>
              <w:rPr>
                <w:sz w:val="20"/>
                <w:szCs w:val="20"/>
              </w:rPr>
              <w:t>5.通道</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2415" w:type="dxa"/>
            <w:tcBorders>
              <w:bottom w:val="single" w:color="auto" w:sz="4" w:space="0"/>
            </w:tcBorders>
          </w:tcPr>
          <w:p>
            <w:pPr>
              <w:autoSpaceDE w:val="0"/>
              <w:autoSpaceDN w:val="0"/>
              <w:spacing w:line="360" w:lineRule="atLeast"/>
              <w:ind w:left="-57" w:right="-57" w:firstLine="0" w:firstLineChars="0"/>
              <w:rPr>
                <w:sz w:val="20"/>
                <w:szCs w:val="20"/>
              </w:rPr>
            </w:pPr>
            <w:r>
              <w:rPr>
                <w:sz w:val="20"/>
                <w:szCs w:val="20"/>
              </w:rPr>
              <w:t>6.防护及排水</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trPr>
        <w:tc>
          <w:tcPr>
            <w:tcW w:w="2415" w:type="dxa"/>
            <w:tcBorders>
              <w:bottom w:val="single" w:color="auto" w:sz="4" w:space="0"/>
            </w:tcBorders>
          </w:tcPr>
          <w:p>
            <w:pPr>
              <w:autoSpaceDE w:val="0"/>
              <w:autoSpaceDN w:val="0"/>
              <w:spacing w:line="360" w:lineRule="atLeast"/>
              <w:ind w:left="-57" w:right="-57" w:firstLine="0" w:firstLineChars="0"/>
              <w:rPr>
                <w:sz w:val="20"/>
                <w:szCs w:val="20"/>
              </w:rPr>
            </w:pPr>
            <w:r>
              <w:rPr>
                <w:sz w:val="20"/>
                <w:szCs w:val="20"/>
              </w:rPr>
              <w:t>7.路面基层</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264" w:firstLineChars="0"/>
              <w:rPr>
                <w:sz w:val="20"/>
                <w:szCs w:val="20"/>
              </w:rPr>
            </w:pPr>
            <w:r>
              <w:rPr>
                <w:sz w:val="20"/>
                <w:szCs w:val="20"/>
              </w:rPr>
              <w:t>（1）底基层</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2415" w:type="dxa"/>
            <w:tcBorders>
              <w:bottom w:val="single" w:color="auto" w:sz="4" w:space="0"/>
            </w:tcBorders>
          </w:tcPr>
          <w:p>
            <w:pPr>
              <w:autoSpaceDE w:val="0"/>
              <w:autoSpaceDN w:val="0"/>
              <w:spacing w:line="360" w:lineRule="atLeast"/>
              <w:ind w:left="-57" w:right="-57" w:firstLine="264" w:firstLineChars="0"/>
              <w:rPr>
                <w:sz w:val="20"/>
                <w:szCs w:val="20"/>
              </w:rPr>
            </w:pPr>
            <w:r>
              <w:rPr>
                <w:sz w:val="20"/>
                <w:szCs w:val="20"/>
              </w:rPr>
              <w:t>（2）基层</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0" w:firstLineChars="0"/>
              <w:rPr>
                <w:sz w:val="20"/>
                <w:szCs w:val="20"/>
              </w:rPr>
            </w:pPr>
            <w:r>
              <w:rPr>
                <w:sz w:val="20"/>
                <w:szCs w:val="20"/>
              </w:rPr>
              <w:t>8.路面铺筑</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0" w:firstLineChars="0"/>
              <w:rPr>
                <w:sz w:val="20"/>
                <w:szCs w:val="20"/>
              </w:rPr>
            </w:pPr>
            <w:r>
              <w:rPr>
                <w:sz w:val="20"/>
                <w:szCs w:val="20"/>
              </w:rPr>
              <w:t>9.路面标志标线</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0" w:firstLineChars="0"/>
              <w:rPr>
                <w:sz w:val="20"/>
                <w:szCs w:val="20"/>
              </w:rPr>
            </w:pPr>
            <w:r>
              <w:rPr>
                <w:sz w:val="20"/>
                <w:szCs w:val="20"/>
              </w:rPr>
              <w:t>10.桥梁工程</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264" w:firstLineChars="0"/>
              <w:rPr>
                <w:sz w:val="20"/>
                <w:szCs w:val="20"/>
              </w:rPr>
            </w:pPr>
            <w:r>
              <w:rPr>
                <w:sz w:val="20"/>
                <w:szCs w:val="20"/>
              </w:rPr>
              <w:t>（1）基础工程</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264" w:firstLineChars="0"/>
              <w:rPr>
                <w:sz w:val="20"/>
                <w:szCs w:val="20"/>
              </w:rPr>
            </w:pPr>
            <w:r>
              <w:rPr>
                <w:sz w:val="20"/>
                <w:szCs w:val="20"/>
              </w:rPr>
              <w:t>（2）墩台工程</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264" w:firstLineChars="0"/>
              <w:rPr>
                <w:sz w:val="20"/>
                <w:szCs w:val="20"/>
              </w:rPr>
            </w:pPr>
            <w:r>
              <w:rPr>
                <w:sz w:val="20"/>
                <w:szCs w:val="20"/>
              </w:rPr>
              <w:t>（3）梁体工程</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2415" w:type="dxa"/>
            <w:tcBorders>
              <w:bottom w:val="single" w:color="auto" w:sz="4" w:space="0"/>
            </w:tcBorders>
          </w:tcPr>
          <w:p>
            <w:pPr>
              <w:autoSpaceDE w:val="0"/>
              <w:autoSpaceDN w:val="0"/>
              <w:spacing w:line="360" w:lineRule="atLeast"/>
              <w:ind w:left="-57" w:right="-57" w:firstLine="264" w:firstLineChars="0"/>
              <w:rPr>
                <w:sz w:val="20"/>
                <w:szCs w:val="20"/>
              </w:rPr>
            </w:pPr>
            <w:r>
              <w:rPr>
                <w:sz w:val="20"/>
                <w:szCs w:val="20"/>
              </w:rPr>
              <w:t>（4）梁体安装</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264" w:firstLineChars="0"/>
              <w:rPr>
                <w:sz w:val="20"/>
                <w:szCs w:val="20"/>
              </w:rPr>
            </w:pPr>
            <w:r>
              <w:rPr>
                <w:sz w:val="20"/>
                <w:szCs w:val="20"/>
              </w:rPr>
              <w:t>（5）桥面铺装及人行道</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0" w:firstLineChars="0"/>
              <w:rPr>
                <w:sz w:val="20"/>
                <w:szCs w:val="20"/>
              </w:rPr>
            </w:pPr>
            <w:r>
              <w:rPr>
                <w:sz w:val="20"/>
                <w:szCs w:val="20"/>
              </w:rPr>
              <w:t>11.隧道</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415" w:type="dxa"/>
            <w:tcBorders>
              <w:bottom w:val="single" w:color="auto" w:sz="4" w:space="0"/>
            </w:tcBorders>
          </w:tcPr>
          <w:p>
            <w:pPr>
              <w:autoSpaceDE w:val="0"/>
              <w:autoSpaceDN w:val="0"/>
              <w:spacing w:line="360" w:lineRule="atLeast"/>
              <w:ind w:left="-57" w:right="-57" w:firstLine="0" w:firstLineChars="0"/>
              <w:rPr>
                <w:sz w:val="20"/>
                <w:szCs w:val="20"/>
              </w:rPr>
            </w:pPr>
            <w:r>
              <w:rPr>
                <w:sz w:val="20"/>
                <w:szCs w:val="20"/>
              </w:rPr>
              <w:t>12.其他</w:t>
            </w: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4"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425"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c>
          <w:tcPr>
            <w:tcW w:w="357" w:type="dxa"/>
            <w:tcBorders>
              <w:bottom w:val="single" w:color="auto" w:sz="4" w:space="0"/>
            </w:tcBorders>
          </w:tcPr>
          <w:p>
            <w:pPr>
              <w:pBdr>
                <w:bottom w:val="single" w:color="auto" w:sz="6" w:space="1"/>
              </w:pBdr>
              <w:tabs>
                <w:tab w:val="center" w:pos="4153"/>
                <w:tab w:val="right" w:pos="8306"/>
              </w:tabs>
              <w:snapToGrid w:val="0"/>
              <w:spacing w:line="360" w:lineRule="atLeast"/>
              <w:ind w:left="-57" w:right="-57" w:firstLine="0" w:firstLineChars="0"/>
              <w:jc w:val="center"/>
              <w:rPr>
                <w:sz w:val="20"/>
                <w:szCs w:val="20"/>
              </w:rPr>
            </w:pPr>
          </w:p>
        </w:tc>
      </w:tr>
    </w:tbl>
    <w:p>
      <w:pPr>
        <w:spacing w:line="360" w:lineRule="auto"/>
        <w:ind w:firstLine="0" w:firstLineChars="0"/>
        <w:rPr>
          <w:b/>
          <w:sz w:val="24"/>
        </w:rPr>
      </w:pPr>
      <w:r>
        <w:rPr>
          <w:b/>
          <w:bCs/>
          <w:kern w:val="44"/>
          <w:sz w:val="24"/>
        </w:rPr>
        <w:br w:type="page"/>
      </w:r>
      <w:bookmarkStart w:id="780" w:name="_Toc26657107"/>
      <w:bookmarkStart w:id="781" w:name="_Toc29645"/>
      <w:r>
        <w:rPr>
          <w:b/>
          <w:sz w:val="24"/>
        </w:rPr>
        <w:t>附表二 分项工程进度率计划（斜率图）</w:t>
      </w:r>
      <w:bookmarkEnd w:id="780"/>
      <w:bookmarkEnd w:id="781"/>
    </w:p>
    <w:p>
      <w:pPr>
        <w:spacing w:line="360" w:lineRule="auto"/>
        <w:ind w:firstLine="0" w:firstLineChars="0"/>
        <w:rPr>
          <w:sz w:val="24"/>
        </w:rPr>
      </w:pPr>
    </w:p>
    <w:tbl>
      <w:tblPr>
        <w:tblStyle w:val="56"/>
        <w:tblW w:w="14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735"/>
        <w:gridCol w:w="485"/>
        <w:gridCol w:w="485"/>
        <w:gridCol w:w="485"/>
        <w:gridCol w:w="485"/>
        <w:gridCol w:w="485"/>
        <w:gridCol w:w="485"/>
        <w:gridCol w:w="485"/>
        <w:gridCol w:w="485"/>
        <w:gridCol w:w="485"/>
        <w:gridCol w:w="485"/>
        <w:gridCol w:w="485"/>
        <w:gridCol w:w="486"/>
        <w:gridCol w:w="485"/>
        <w:gridCol w:w="485"/>
        <w:gridCol w:w="485"/>
        <w:gridCol w:w="485"/>
        <w:gridCol w:w="485"/>
        <w:gridCol w:w="485"/>
        <w:gridCol w:w="485"/>
        <w:gridCol w:w="485"/>
        <w:gridCol w:w="485"/>
        <w:gridCol w:w="485"/>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201" w:type="dxa"/>
            <w:gridSpan w:val="2"/>
            <w:tcBorders>
              <w:bottom w:val="nil"/>
            </w:tcBorders>
          </w:tcPr>
          <w:p>
            <w:pPr>
              <w:autoSpaceDE w:val="0"/>
              <w:autoSpaceDN w:val="0"/>
              <w:spacing w:line="360" w:lineRule="auto"/>
              <w:ind w:firstLine="0" w:firstLineChars="0"/>
              <w:jc w:val="center"/>
              <w:rPr>
                <w:sz w:val="24"/>
              </w:rPr>
            </w:pPr>
            <w:r>
              <w:rPr>
                <w:sz w:val="24"/>
              </w:rPr>
              <w:t>年  度</w:t>
            </w:r>
          </w:p>
        </w:tc>
        <w:tc>
          <w:tcPr>
            <w:tcW w:w="5821" w:type="dxa"/>
            <w:gridSpan w:val="12"/>
          </w:tcPr>
          <w:p>
            <w:pPr>
              <w:pBdr>
                <w:bottom w:val="single" w:color="auto" w:sz="6" w:space="1"/>
              </w:pBdr>
              <w:snapToGrid w:val="0"/>
              <w:spacing w:line="360" w:lineRule="auto"/>
              <w:ind w:firstLine="0" w:firstLineChars="0"/>
              <w:jc w:val="center"/>
              <w:rPr>
                <w:sz w:val="24"/>
              </w:rPr>
            </w:pPr>
            <w:r>
              <w:rPr>
                <w:sz w:val="24"/>
                <w:u w:val="single"/>
              </w:rPr>
              <w:t xml:space="preserve">     </w:t>
            </w:r>
            <w:r>
              <w:rPr>
                <w:sz w:val="24"/>
              </w:rPr>
              <w:t>年</w:t>
            </w:r>
          </w:p>
        </w:tc>
        <w:tc>
          <w:tcPr>
            <w:tcW w:w="5336" w:type="dxa"/>
            <w:gridSpan w:val="11"/>
          </w:tcPr>
          <w:p>
            <w:pPr>
              <w:pBdr>
                <w:bottom w:val="single" w:color="auto" w:sz="6" w:space="1"/>
              </w:pBdr>
              <w:snapToGrid w:val="0"/>
              <w:spacing w:line="360" w:lineRule="auto"/>
              <w:ind w:firstLine="0" w:firstLineChars="0"/>
              <w:jc w:val="center"/>
              <w:rPr>
                <w:sz w:val="24"/>
              </w:rPr>
            </w:pPr>
            <w:r>
              <w:rPr>
                <w:sz w:val="24"/>
                <w:u w:val="single"/>
              </w:rPr>
              <w:t xml:space="preserve">     </w:t>
            </w:r>
            <w:r>
              <w:rPr>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201" w:type="dxa"/>
            <w:gridSpan w:val="2"/>
            <w:tcBorders>
              <w:bottom w:val="nil"/>
            </w:tcBorders>
          </w:tcPr>
          <w:p>
            <w:pPr>
              <w:autoSpaceDE w:val="0"/>
              <w:autoSpaceDN w:val="0"/>
              <w:spacing w:line="360" w:lineRule="auto"/>
              <w:ind w:firstLine="0" w:firstLineChars="0"/>
              <w:jc w:val="center"/>
              <w:rPr>
                <w:sz w:val="24"/>
              </w:rPr>
            </w:pPr>
            <w:r>
              <w:rPr>
                <w:sz w:val="24"/>
              </w:rPr>
              <w:t>季  度</w:t>
            </w:r>
          </w:p>
        </w:tc>
        <w:tc>
          <w:tcPr>
            <w:tcW w:w="1455" w:type="dxa"/>
            <w:gridSpan w:val="3"/>
            <w:vAlign w:val="center"/>
          </w:tcPr>
          <w:p>
            <w:pPr>
              <w:pBdr>
                <w:bottom w:val="single" w:color="auto" w:sz="6" w:space="1"/>
              </w:pBdr>
              <w:snapToGrid w:val="0"/>
              <w:spacing w:line="360" w:lineRule="auto"/>
              <w:ind w:firstLine="0" w:firstLineChars="0"/>
              <w:jc w:val="center"/>
              <w:rPr>
                <w:sz w:val="24"/>
              </w:rPr>
            </w:pPr>
            <w:r>
              <w:rPr>
                <w:sz w:val="24"/>
              </w:rPr>
              <w:t>一</w:t>
            </w:r>
          </w:p>
        </w:tc>
        <w:tc>
          <w:tcPr>
            <w:tcW w:w="1455" w:type="dxa"/>
            <w:gridSpan w:val="3"/>
            <w:vAlign w:val="center"/>
          </w:tcPr>
          <w:p>
            <w:pPr>
              <w:pBdr>
                <w:bottom w:val="single" w:color="auto" w:sz="6" w:space="1"/>
              </w:pBdr>
              <w:snapToGrid w:val="0"/>
              <w:spacing w:line="360" w:lineRule="auto"/>
              <w:ind w:firstLine="0" w:firstLineChars="0"/>
              <w:jc w:val="center"/>
              <w:rPr>
                <w:sz w:val="24"/>
              </w:rPr>
            </w:pPr>
            <w:r>
              <w:rPr>
                <w:sz w:val="24"/>
              </w:rPr>
              <w:t>二</w:t>
            </w:r>
          </w:p>
        </w:tc>
        <w:tc>
          <w:tcPr>
            <w:tcW w:w="1455" w:type="dxa"/>
            <w:gridSpan w:val="3"/>
            <w:vAlign w:val="center"/>
          </w:tcPr>
          <w:p>
            <w:pPr>
              <w:pBdr>
                <w:bottom w:val="single" w:color="auto" w:sz="6" w:space="1"/>
              </w:pBdr>
              <w:snapToGrid w:val="0"/>
              <w:spacing w:line="360" w:lineRule="auto"/>
              <w:ind w:firstLine="0" w:firstLineChars="0"/>
              <w:jc w:val="center"/>
              <w:rPr>
                <w:sz w:val="24"/>
              </w:rPr>
            </w:pPr>
            <w:r>
              <w:rPr>
                <w:sz w:val="24"/>
              </w:rPr>
              <w:t>三</w:t>
            </w:r>
          </w:p>
        </w:tc>
        <w:tc>
          <w:tcPr>
            <w:tcW w:w="1456" w:type="dxa"/>
            <w:gridSpan w:val="3"/>
            <w:vAlign w:val="center"/>
          </w:tcPr>
          <w:p>
            <w:pPr>
              <w:pBdr>
                <w:bottom w:val="single" w:color="auto" w:sz="6" w:space="1"/>
              </w:pBdr>
              <w:snapToGrid w:val="0"/>
              <w:spacing w:line="360" w:lineRule="auto"/>
              <w:ind w:firstLine="0" w:firstLineChars="0"/>
              <w:jc w:val="center"/>
              <w:rPr>
                <w:sz w:val="24"/>
              </w:rPr>
            </w:pPr>
            <w:r>
              <w:rPr>
                <w:sz w:val="24"/>
              </w:rPr>
              <w:t>四</w:t>
            </w:r>
          </w:p>
        </w:tc>
        <w:tc>
          <w:tcPr>
            <w:tcW w:w="1455" w:type="dxa"/>
            <w:gridSpan w:val="3"/>
            <w:vAlign w:val="center"/>
          </w:tcPr>
          <w:p>
            <w:pPr>
              <w:pBdr>
                <w:bottom w:val="single" w:color="auto" w:sz="6" w:space="1"/>
              </w:pBdr>
              <w:snapToGrid w:val="0"/>
              <w:spacing w:line="360" w:lineRule="auto"/>
              <w:ind w:firstLine="0" w:firstLineChars="0"/>
              <w:jc w:val="center"/>
              <w:rPr>
                <w:sz w:val="24"/>
              </w:rPr>
            </w:pPr>
            <w:r>
              <w:rPr>
                <w:sz w:val="24"/>
              </w:rPr>
              <w:t>一</w:t>
            </w:r>
          </w:p>
        </w:tc>
        <w:tc>
          <w:tcPr>
            <w:tcW w:w="1455" w:type="dxa"/>
            <w:gridSpan w:val="3"/>
            <w:vAlign w:val="center"/>
          </w:tcPr>
          <w:p>
            <w:pPr>
              <w:pBdr>
                <w:bottom w:val="single" w:color="auto" w:sz="6" w:space="1"/>
              </w:pBdr>
              <w:snapToGrid w:val="0"/>
              <w:spacing w:line="360" w:lineRule="auto"/>
              <w:ind w:firstLine="0" w:firstLineChars="0"/>
              <w:jc w:val="center"/>
              <w:rPr>
                <w:sz w:val="24"/>
              </w:rPr>
            </w:pPr>
            <w:r>
              <w:rPr>
                <w:sz w:val="24"/>
              </w:rPr>
              <w:t>二</w:t>
            </w:r>
          </w:p>
        </w:tc>
        <w:tc>
          <w:tcPr>
            <w:tcW w:w="1455" w:type="dxa"/>
            <w:gridSpan w:val="3"/>
            <w:vAlign w:val="center"/>
          </w:tcPr>
          <w:p>
            <w:pPr>
              <w:pBdr>
                <w:bottom w:val="single" w:color="auto" w:sz="6" w:space="1"/>
              </w:pBdr>
              <w:snapToGrid w:val="0"/>
              <w:spacing w:line="360" w:lineRule="auto"/>
              <w:ind w:firstLine="0" w:firstLineChars="0"/>
              <w:jc w:val="center"/>
              <w:rPr>
                <w:sz w:val="24"/>
              </w:rPr>
            </w:pPr>
            <w:r>
              <w:rPr>
                <w:sz w:val="24"/>
              </w:rPr>
              <w:t>三</w:t>
            </w:r>
          </w:p>
        </w:tc>
        <w:tc>
          <w:tcPr>
            <w:tcW w:w="971" w:type="dxa"/>
            <w:gridSpan w:val="2"/>
            <w:vAlign w:val="center"/>
          </w:tcPr>
          <w:p>
            <w:pPr>
              <w:pBdr>
                <w:bottom w:val="single" w:color="auto" w:sz="6" w:space="1"/>
              </w:pBdr>
              <w:snapToGrid w:val="0"/>
              <w:spacing w:line="360" w:lineRule="auto"/>
              <w:ind w:firstLine="0" w:firstLineChars="0"/>
              <w:jc w:val="center"/>
              <w:rPr>
                <w:sz w:val="24"/>
              </w:rPr>
            </w:pPr>
            <w:r>
              <w:rPr>
                <w:sz w:val="24"/>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3201" w:type="dxa"/>
            <w:gridSpan w:val="2"/>
            <w:tcBorders>
              <w:bottom w:val="single" w:color="auto" w:sz="4" w:space="0"/>
            </w:tcBorders>
          </w:tcPr>
          <w:p>
            <w:pPr>
              <w:autoSpaceDE w:val="0"/>
              <w:autoSpaceDN w:val="0"/>
              <w:spacing w:line="360" w:lineRule="auto"/>
              <w:ind w:firstLine="0" w:firstLineChars="0"/>
              <w:jc w:val="center"/>
              <w:rPr>
                <w:sz w:val="24"/>
              </w:rPr>
            </w:pPr>
            <w:r>
              <w:rPr>
                <w:sz w:val="24"/>
              </w:rPr>
              <w:t>月  份</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1</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2</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3</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4</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5</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6</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7</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8</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9</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10</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11</w:t>
            </w:r>
          </w:p>
        </w:tc>
        <w:tc>
          <w:tcPr>
            <w:tcW w:w="486" w:type="dxa"/>
            <w:vAlign w:val="center"/>
          </w:tcPr>
          <w:p>
            <w:pPr>
              <w:pBdr>
                <w:bottom w:val="single" w:color="auto" w:sz="6" w:space="1"/>
              </w:pBdr>
              <w:snapToGrid w:val="0"/>
              <w:spacing w:line="360" w:lineRule="auto"/>
              <w:ind w:firstLine="0" w:firstLineChars="0"/>
              <w:jc w:val="center"/>
              <w:rPr>
                <w:sz w:val="24"/>
              </w:rPr>
            </w:pPr>
            <w:r>
              <w:rPr>
                <w:sz w:val="24"/>
              </w:rPr>
              <w:t>12</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1</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2</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3</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4</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5</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6</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7</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8</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9</w:t>
            </w:r>
          </w:p>
        </w:tc>
        <w:tc>
          <w:tcPr>
            <w:tcW w:w="485" w:type="dxa"/>
            <w:vAlign w:val="center"/>
          </w:tcPr>
          <w:p>
            <w:pPr>
              <w:pBdr>
                <w:bottom w:val="single" w:color="auto" w:sz="6" w:space="1"/>
              </w:pBdr>
              <w:snapToGrid w:val="0"/>
              <w:spacing w:line="360" w:lineRule="auto"/>
              <w:ind w:firstLine="0" w:firstLineChars="0"/>
              <w:jc w:val="center"/>
              <w:rPr>
                <w:sz w:val="24"/>
              </w:rPr>
            </w:pPr>
            <w:r>
              <w:rPr>
                <w:sz w:val="24"/>
              </w:rPr>
              <w:t>10</w:t>
            </w:r>
          </w:p>
        </w:tc>
        <w:tc>
          <w:tcPr>
            <w:tcW w:w="486" w:type="dxa"/>
            <w:vAlign w:val="center"/>
          </w:tcPr>
          <w:p>
            <w:pPr>
              <w:spacing w:line="360" w:lineRule="auto"/>
              <w:ind w:firstLine="0" w:firstLineChars="0"/>
              <w:rPr>
                <w:sz w:val="24"/>
              </w:rPr>
            </w:pPr>
            <w:r>
              <w:rPr>
                <w:sz w:val="24"/>
              </w:rPr>
              <w:t>…</w:t>
            </w:r>
          </w:p>
          <w:p>
            <w:pPr>
              <w:spacing w:line="36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single" w:color="auto" w:sz="4" w:space="0"/>
              <w:left w:val="single" w:color="auto" w:sz="4" w:space="0"/>
              <w:bottom w:val="single" w:color="auto" w:sz="4" w:space="0"/>
              <w:right w:val="nil"/>
            </w:tcBorders>
          </w:tcPr>
          <w:p>
            <w:pPr>
              <w:autoSpaceDE w:val="0"/>
              <w:autoSpaceDN w:val="0"/>
              <w:spacing w:line="360" w:lineRule="auto"/>
              <w:ind w:firstLine="0" w:firstLineChars="0"/>
              <w:rPr>
                <w:sz w:val="24"/>
              </w:rPr>
            </w:pPr>
            <w:r>
              <w:rPr>
                <w:sz w:val="24"/>
              </w:rPr>
              <w:pict>
                <v:line id="_x0000_s1032" o:spid="_x0000_s1032" o:spt="20" style="position:absolute;left:0pt;margin-left:47.2pt;margin-top:86.2pt;height:0pt;width:0pt;z-index:251659264;mso-width-relative:page;mso-height-relative:page;" coordsize="21600,21600" o:allowincell="f" o:gfxdata="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hBlDUAAAACQEAAA8AAAAAAAAA&#10;AQAgAAAAIgAAAGRycy9kb3ducmV2LnhtbFBLAQIUABQAAAAIAIdO4kCoEuoz3AEAAKQDAAAOAAAA&#10;AAAAAAEAIAAAACMBAABkcnMvZTJvRG9jLnhtbFBLBQYAAAAABgAGAFkBAABxBQAAAAA=&#10;">
                  <v:path arrowok="t"/>
                  <v:fill focussize="0,0"/>
                  <v:stroke/>
                  <v:imagedata o:title=""/>
                  <o:lock v:ext="edit"/>
                </v:line>
              </w:pict>
            </w:r>
            <w:r>
              <w:rPr>
                <w:sz w:val="24"/>
              </w:rPr>
              <w:t>图例：</w:t>
            </w:r>
          </w:p>
          <w:p>
            <w:pPr>
              <w:autoSpaceDE w:val="0"/>
              <w:autoSpaceDN w:val="0"/>
              <w:spacing w:line="360" w:lineRule="auto"/>
              <w:ind w:firstLine="0" w:firstLineChars="0"/>
              <w:rPr>
                <w:sz w:val="24"/>
              </w:rPr>
            </w:pP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r>
              <w:rPr>
                <w:sz w:val="24"/>
              </w:rPr>
              <w:t>100（%）</w:t>
            </w: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spacing w:line="36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nil"/>
              <w:left w:val="single" w:color="auto" w:sz="4" w:space="0"/>
              <w:bottom w:val="single" w:color="auto" w:sz="4" w:space="0"/>
              <w:right w:val="nil"/>
            </w:tcBorders>
          </w:tcPr>
          <w:p>
            <w:pPr>
              <w:autoSpaceDE w:val="0"/>
              <w:autoSpaceDN w:val="0"/>
              <w:spacing w:line="360" w:lineRule="auto"/>
              <w:ind w:firstLine="0" w:firstLineChars="0"/>
              <w:rPr>
                <w:sz w:val="24"/>
              </w:rPr>
            </w:pP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single" w:color="auto" w:sz="4" w:space="0"/>
              <w:left w:val="single" w:color="auto" w:sz="4" w:space="0"/>
              <w:bottom w:val="double" w:color="auto" w:sz="4" w:space="0"/>
              <w:right w:val="nil"/>
            </w:tcBorders>
          </w:tcPr>
          <w:p>
            <w:pPr>
              <w:autoSpaceDE w:val="0"/>
              <w:autoSpaceDN w:val="0"/>
              <w:spacing w:line="360" w:lineRule="auto"/>
              <w:ind w:firstLine="0" w:firstLineChars="0"/>
              <w:jc w:val="center"/>
              <w:rPr>
                <w:sz w:val="24"/>
              </w:rPr>
            </w:pPr>
            <w:r>
              <w:rPr>
                <w:sz w:val="24"/>
              </w:rPr>
              <w:t>施工准备</w:t>
            </w: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r>
              <w:rPr>
                <w:sz w:val="24"/>
              </w:rPr>
              <w:t>90</w:t>
            </w: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single" w:color="auto" w:sz="4" w:space="0"/>
              <w:left w:val="single" w:color="auto" w:sz="4" w:space="0"/>
              <w:bottom w:val="double" w:color="auto" w:sz="4" w:space="0"/>
              <w:right w:val="nil"/>
            </w:tcBorders>
          </w:tcPr>
          <w:p>
            <w:pPr>
              <w:autoSpaceDE w:val="0"/>
              <w:autoSpaceDN w:val="0"/>
              <w:spacing w:line="360" w:lineRule="auto"/>
              <w:ind w:firstLine="0" w:firstLineChars="0"/>
              <w:jc w:val="center"/>
              <w:rPr>
                <w:sz w:val="24"/>
              </w:rPr>
            </w:pP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ouble" w:color="auto" w:sz="4" w:space="0"/>
              <w:left w:val="single" w:color="auto" w:sz="4" w:space="0"/>
              <w:bottom w:val="single" w:color="auto" w:sz="4" w:space="0"/>
              <w:right w:val="nil"/>
            </w:tcBorders>
          </w:tcPr>
          <w:p>
            <w:pPr>
              <w:autoSpaceDE w:val="0"/>
              <w:autoSpaceDN w:val="0"/>
              <w:spacing w:line="360" w:lineRule="auto"/>
              <w:ind w:firstLine="0" w:firstLineChars="0"/>
              <w:jc w:val="center"/>
              <w:rPr>
                <w:sz w:val="24"/>
              </w:rPr>
            </w:pPr>
            <w:r>
              <w:rPr>
                <w:sz w:val="24"/>
              </w:rPr>
              <w:t>路基填筑</w:t>
            </w: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r>
              <w:rPr>
                <w:sz w:val="24"/>
              </w:rPr>
              <w:t>80</w:t>
            </w: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nil"/>
              <w:left w:val="single" w:color="auto" w:sz="4" w:space="0"/>
              <w:bottom w:val="dashDotStroked" w:color="auto" w:sz="24" w:space="0"/>
              <w:right w:val="nil"/>
            </w:tcBorders>
          </w:tcPr>
          <w:p>
            <w:pPr>
              <w:autoSpaceDE w:val="0"/>
              <w:autoSpaceDN w:val="0"/>
              <w:spacing w:line="360" w:lineRule="auto"/>
              <w:ind w:firstLine="0" w:firstLineChars="0"/>
              <w:jc w:val="center"/>
              <w:rPr>
                <w:sz w:val="24"/>
              </w:rPr>
            </w:pP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ashDotStroked" w:color="auto" w:sz="24" w:space="0"/>
              <w:left w:val="single" w:color="auto" w:sz="4" w:space="0"/>
              <w:bottom w:val="thinThickThinSmallGap" w:color="auto" w:sz="12" w:space="0"/>
              <w:right w:val="nil"/>
            </w:tcBorders>
          </w:tcPr>
          <w:p>
            <w:pPr>
              <w:autoSpaceDE w:val="0"/>
              <w:autoSpaceDN w:val="0"/>
              <w:spacing w:line="360" w:lineRule="auto"/>
              <w:ind w:firstLine="0" w:firstLineChars="0"/>
              <w:jc w:val="center"/>
              <w:rPr>
                <w:sz w:val="24"/>
              </w:rPr>
            </w:pPr>
            <w:r>
              <w:rPr>
                <w:sz w:val="24"/>
              </w:rPr>
              <w:t>路面基层</w:t>
            </w: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r>
              <w:rPr>
                <w:sz w:val="24"/>
              </w:rPr>
              <w:t>70</w:t>
            </w: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thinThickThinSmallGap" w:color="auto" w:sz="12" w:space="0"/>
              <w:left w:val="single" w:color="auto" w:sz="4" w:space="0"/>
              <w:bottom w:val="thinThickThinSmallGap" w:color="auto" w:sz="12" w:space="0"/>
              <w:right w:val="nil"/>
            </w:tcBorders>
          </w:tcPr>
          <w:p>
            <w:pPr>
              <w:autoSpaceDE w:val="0"/>
              <w:autoSpaceDN w:val="0"/>
              <w:spacing w:line="360" w:lineRule="auto"/>
              <w:ind w:firstLine="0" w:firstLineChars="0"/>
              <w:jc w:val="center"/>
              <w:rPr>
                <w:sz w:val="24"/>
              </w:rPr>
            </w:pP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thinThickThinSmallGap" w:color="auto" w:sz="12" w:space="0"/>
              <w:left w:val="single" w:color="auto" w:sz="4" w:space="0"/>
              <w:bottom w:val="single" w:color="auto" w:sz="4" w:space="0"/>
              <w:right w:val="nil"/>
            </w:tcBorders>
          </w:tcPr>
          <w:p>
            <w:pPr>
              <w:autoSpaceDE w:val="0"/>
              <w:autoSpaceDN w:val="0"/>
              <w:spacing w:line="360" w:lineRule="auto"/>
              <w:ind w:firstLine="0" w:firstLineChars="0"/>
              <w:jc w:val="center"/>
              <w:rPr>
                <w:sz w:val="24"/>
              </w:rPr>
            </w:pPr>
            <w:r>
              <w:rPr>
                <w:sz w:val="24"/>
              </w:rPr>
              <w:t>路面面层</w:t>
            </w: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r>
              <w:rPr>
                <w:sz w:val="24"/>
              </w:rPr>
              <w:t>60</w:t>
            </w: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nil"/>
              <w:left w:val="single" w:color="auto" w:sz="4" w:space="0"/>
              <w:bottom w:val="wave" w:color="auto" w:sz="12" w:space="0"/>
              <w:right w:val="nil"/>
            </w:tcBorders>
          </w:tcPr>
          <w:p>
            <w:pPr>
              <w:autoSpaceDE w:val="0"/>
              <w:autoSpaceDN w:val="0"/>
              <w:spacing w:line="360" w:lineRule="auto"/>
              <w:ind w:firstLine="0" w:firstLineChars="0"/>
              <w:jc w:val="center"/>
              <w:rPr>
                <w:sz w:val="24"/>
              </w:rPr>
            </w:pP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wave" w:color="auto" w:sz="12" w:space="0"/>
              <w:left w:val="single" w:color="auto" w:sz="4" w:space="0"/>
              <w:bottom w:val="wave" w:color="auto" w:sz="6" w:space="0"/>
              <w:right w:val="nil"/>
            </w:tcBorders>
          </w:tcPr>
          <w:p>
            <w:pPr>
              <w:autoSpaceDE w:val="0"/>
              <w:autoSpaceDN w:val="0"/>
              <w:spacing w:line="360" w:lineRule="auto"/>
              <w:ind w:firstLine="0" w:firstLineChars="0"/>
              <w:jc w:val="center"/>
              <w:rPr>
                <w:sz w:val="24"/>
              </w:rPr>
            </w:pPr>
            <w:r>
              <w:rPr>
                <w:sz w:val="24"/>
              </w:rPr>
              <w:t>防护及排水</w:t>
            </w: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r>
              <w:rPr>
                <w:sz w:val="24"/>
              </w:rPr>
              <w:t>50</w:t>
            </w: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5" w:type="dxa"/>
          </w:tcPr>
          <w:p>
            <w:pPr>
              <w:pBdr>
                <w:bottom w:val="single" w:color="auto" w:sz="6" w:space="1"/>
              </w:pBdr>
              <w:snapToGrid w:val="0"/>
              <w:spacing w:line="360" w:lineRule="auto"/>
              <w:ind w:firstLine="0" w:firstLineChars="0"/>
              <w:jc w:val="center"/>
              <w:rPr>
                <w:sz w:val="24"/>
              </w:rPr>
            </w:pPr>
          </w:p>
        </w:tc>
        <w:tc>
          <w:tcPr>
            <w:tcW w:w="486" w:type="dxa"/>
          </w:tcPr>
          <w:p>
            <w:pPr>
              <w:pBdr>
                <w:bottom w:val="single" w:color="auto" w:sz="6" w:space="1"/>
              </w:pBdr>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thickThinSmallGap" w:color="auto" w:sz="18" w:space="0"/>
              <w:left w:val="single" w:color="auto" w:sz="4" w:space="0"/>
              <w:bottom w:val="dotDash" w:color="auto" w:sz="12" w:space="0"/>
              <w:right w:val="nil"/>
            </w:tcBorders>
          </w:tcPr>
          <w:p>
            <w:pPr>
              <w:autoSpaceDE w:val="0"/>
              <w:autoSpaceDN w:val="0"/>
              <w:spacing w:line="360" w:lineRule="auto"/>
              <w:ind w:firstLine="0" w:firstLineChars="0"/>
              <w:jc w:val="center"/>
              <w:rPr>
                <w:sz w:val="24"/>
              </w:rPr>
            </w:pP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otDash" w:color="auto" w:sz="12" w:space="0"/>
              <w:left w:val="single" w:color="auto" w:sz="4" w:space="0"/>
              <w:bottom w:val="thickThinSmallGap" w:color="auto" w:sz="24" w:space="0"/>
              <w:right w:val="nil"/>
            </w:tcBorders>
          </w:tcPr>
          <w:p>
            <w:pPr>
              <w:autoSpaceDE w:val="0"/>
              <w:autoSpaceDN w:val="0"/>
              <w:spacing w:line="360" w:lineRule="auto"/>
              <w:ind w:firstLine="0" w:firstLineChars="0"/>
              <w:jc w:val="center"/>
              <w:rPr>
                <w:sz w:val="24"/>
              </w:rPr>
            </w:pPr>
            <w:r>
              <w:rPr>
                <w:sz w:val="24"/>
              </w:rPr>
              <w:t>涵洞及通道</w:t>
            </w: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r>
              <w:rPr>
                <w:sz w:val="24"/>
              </w:rPr>
              <w:t>40</w:t>
            </w: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top w:val="thickThinSmallGap" w:color="auto" w:sz="24" w:space="0"/>
              <w:left w:val="single" w:color="auto" w:sz="4" w:space="0"/>
              <w:bottom w:val="thickThinSmallGap" w:color="auto" w:sz="24" w:space="0"/>
              <w:right w:val="nil"/>
            </w:tcBorders>
          </w:tcPr>
          <w:p>
            <w:pPr>
              <w:autoSpaceDE w:val="0"/>
              <w:autoSpaceDN w:val="0"/>
              <w:spacing w:line="360" w:lineRule="auto"/>
              <w:ind w:firstLine="0" w:firstLineChars="0"/>
              <w:rPr>
                <w:sz w:val="24"/>
              </w:rPr>
            </w:pP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thickThinSmallGap" w:color="auto" w:sz="24" w:space="0"/>
              <w:left w:val="single" w:color="auto" w:sz="4" w:space="0"/>
              <w:right w:val="nil"/>
            </w:tcBorders>
            <w:shd w:val="clear" w:color="auto" w:fill="auto"/>
          </w:tcPr>
          <w:p>
            <w:pPr>
              <w:autoSpaceDE w:val="0"/>
              <w:autoSpaceDN w:val="0"/>
              <w:spacing w:line="360" w:lineRule="auto"/>
              <w:ind w:firstLine="0" w:firstLineChars="0"/>
              <w:jc w:val="center"/>
              <w:rPr>
                <w:sz w:val="24"/>
              </w:rPr>
            </w:pPr>
            <w:r>
              <w:rPr>
                <w:sz w:val="24"/>
              </w:rPr>
              <w:t>桥梁下部工程</w:t>
            </w: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r>
              <w:rPr>
                <w:sz w:val="24"/>
              </w:rPr>
              <w:t>30</w:t>
            </w: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left w:val="single" w:color="auto" w:sz="4" w:space="0"/>
              <w:bottom w:val="thinThickSmallGap" w:color="auto" w:sz="24" w:space="0"/>
              <w:right w:val="nil"/>
            </w:tcBorders>
            <w:shd w:val="clear" w:color="auto" w:fill="auto"/>
          </w:tcPr>
          <w:p>
            <w:pPr>
              <w:autoSpaceDE w:val="0"/>
              <w:autoSpaceDN w:val="0"/>
              <w:spacing w:line="360" w:lineRule="auto"/>
              <w:ind w:firstLine="0" w:firstLineChars="0"/>
              <w:rPr>
                <w:sz w:val="24"/>
              </w:rPr>
            </w:pP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thinThickSmallGap" w:color="auto" w:sz="24" w:space="0"/>
              <w:left w:val="single" w:color="auto" w:sz="4" w:space="0"/>
              <w:right w:val="nil"/>
            </w:tcBorders>
            <w:shd w:val="clear" w:color="auto" w:fill="auto"/>
          </w:tcPr>
          <w:p>
            <w:pPr>
              <w:autoSpaceDE w:val="0"/>
              <w:autoSpaceDN w:val="0"/>
              <w:spacing w:line="360" w:lineRule="auto"/>
              <w:ind w:firstLine="0" w:firstLineChars="0"/>
              <w:jc w:val="center"/>
              <w:rPr>
                <w:sz w:val="24"/>
              </w:rPr>
            </w:pPr>
            <w:r>
              <w:rPr>
                <w:sz w:val="24"/>
              </w:rPr>
              <w:t>桥梁上部工程</w:t>
            </w: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r>
              <w:rPr>
                <w:sz w:val="24"/>
              </w:rPr>
              <w:t>20</w:t>
            </w: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left w:val="single" w:color="auto" w:sz="4" w:space="0"/>
              <w:bottom w:val="dashed" w:color="auto" w:sz="12" w:space="0"/>
              <w:right w:val="nil"/>
            </w:tcBorders>
            <w:shd w:val="clear" w:color="auto" w:fill="auto"/>
          </w:tcPr>
          <w:p>
            <w:pPr>
              <w:autoSpaceDE w:val="0"/>
              <w:autoSpaceDN w:val="0"/>
              <w:spacing w:line="360" w:lineRule="auto"/>
              <w:ind w:firstLine="0" w:firstLineChars="0"/>
              <w:rPr>
                <w:sz w:val="24"/>
              </w:rPr>
            </w:pP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restart"/>
            <w:tcBorders>
              <w:top w:val="dashed" w:color="auto" w:sz="12" w:space="0"/>
              <w:left w:val="single" w:color="auto" w:sz="4" w:space="0"/>
              <w:right w:val="nil"/>
            </w:tcBorders>
            <w:shd w:val="clear" w:color="auto" w:fill="auto"/>
          </w:tcPr>
          <w:p>
            <w:pPr>
              <w:autoSpaceDE w:val="0"/>
              <w:autoSpaceDN w:val="0"/>
              <w:spacing w:line="360" w:lineRule="auto"/>
              <w:ind w:firstLine="0" w:firstLineChars="0"/>
              <w:jc w:val="center"/>
              <w:rPr>
                <w:sz w:val="24"/>
              </w:rPr>
            </w:pPr>
            <w:r>
              <w:rPr>
                <w:sz w:val="24"/>
              </w:rPr>
              <w:t>隧道</w:t>
            </w:r>
          </w:p>
        </w:tc>
        <w:tc>
          <w:tcPr>
            <w:tcW w:w="735" w:type="dxa"/>
            <w:tcBorders>
              <w:top w:val="nil"/>
              <w:left w:val="nil"/>
              <w:bottom w:val="nil"/>
              <w:right w:val="single" w:color="auto" w:sz="4" w:space="0"/>
            </w:tcBorders>
          </w:tcPr>
          <w:p>
            <w:pPr>
              <w:autoSpaceDE w:val="0"/>
              <w:autoSpaceDN w:val="0"/>
              <w:spacing w:line="360" w:lineRule="auto"/>
              <w:ind w:firstLine="0" w:firstLineChars="0"/>
              <w:jc w:val="right"/>
              <w:rPr>
                <w:sz w:val="24"/>
              </w:rPr>
            </w:pPr>
            <w:r>
              <w:rPr>
                <w:sz w:val="24"/>
              </w:rPr>
              <w:t>10</w:t>
            </w: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2466" w:type="dxa"/>
            <w:vMerge w:val="continue"/>
            <w:tcBorders>
              <w:left w:val="single" w:color="auto" w:sz="4" w:space="0"/>
              <w:bottom w:val="single" w:color="auto" w:sz="4" w:space="0"/>
              <w:right w:val="nil"/>
            </w:tcBorders>
            <w:shd w:val="clear" w:color="auto" w:fill="auto"/>
          </w:tcPr>
          <w:p>
            <w:pPr>
              <w:autoSpaceDE w:val="0"/>
              <w:autoSpaceDN w:val="0"/>
              <w:spacing w:line="360" w:lineRule="auto"/>
              <w:ind w:firstLine="0" w:firstLineChars="0"/>
              <w:rPr>
                <w:sz w:val="24"/>
              </w:rPr>
            </w:pPr>
          </w:p>
        </w:tc>
        <w:tc>
          <w:tcPr>
            <w:tcW w:w="735" w:type="dxa"/>
            <w:tcBorders>
              <w:top w:val="nil"/>
              <w:left w:val="nil"/>
              <w:bottom w:val="single" w:color="auto" w:sz="4" w:space="0"/>
              <w:right w:val="single" w:color="auto" w:sz="4" w:space="0"/>
            </w:tcBorders>
          </w:tcPr>
          <w:p>
            <w:pPr>
              <w:autoSpaceDE w:val="0"/>
              <w:autoSpaceDN w:val="0"/>
              <w:spacing w:line="360" w:lineRule="auto"/>
              <w:ind w:firstLine="0" w:firstLineChars="0"/>
              <w:jc w:val="right"/>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5"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c>
          <w:tcPr>
            <w:tcW w:w="486" w:type="dxa"/>
            <w:tcBorders>
              <w:bottom w:val="single" w:color="auto" w:sz="4" w:space="0"/>
            </w:tcBorders>
          </w:tcPr>
          <w:p>
            <w:pPr>
              <w:pBdr>
                <w:bottom w:val="single" w:color="auto" w:sz="6" w:space="1"/>
              </w:pBdr>
              <w:tabs>
                <w:tab w:val="center" w:pos="4153"/>
                <w:tab w:val="right" w:pos="8306"/>
              </w:tabs>
              <w:snapToGrid w:val="0"/>
              <w:spacing w:line="360" w:lineRule="auto"/>
              <w:ind w:firstLine="0" w:firstLineChars="0"/>
              <w:jc w:val="center"/>
              <w:rPr>
                <w:sz w:val="24"/>
              </w:rPr>
            </w:pPr>
          </w:p>
        </w:tc>
      </w:tr>
    </w:tbl>
    <w:p>
      <w:pPr>
        <w:spacing w:line="360" w:lineRule="auto"/>
        <w:ind w:firstLine="0" w:firstLineChars="0"/>
        <w:rPr>
          <w:sz w:val="24"/>
        </w:rPr>
      </w:pPr>
      <w:r>
        <w:rPr>
          <w:sz w:val="24"/>
        </w:rPr>
        <w:t>注：1.应</w:t>
      </w:r>
      <w:r>
        <w:rPr>
          <w:rFonts w:hint="eastAsia"/>
          <w:sz w:val="24"/>
        </w:rPr>
        <w:t>按照</w:t>
      </w:r>
      <w:r>
        <w:rPr>
          <w:sz w:val="24"/>
        </w:rPr>
        <w:t xml:space="preserve">各标段实际工程内容填写。 </w:t>
      </w:r>
    </w:p>
    <w:p>
      <w:pPr>
        <w:spacing w:line="360" w:lineRule="auto"/>
        <w:ind w:firstLine="0" w:firstLineChars="0"/>
        <w:rPr>
          <w:b/>
          <w:sz w:val="24"/>
        </w:rPr>
        <w:sectPr>
          <w:footnotePr>
            <w:numFmt w:val="decimalEnclosedCircleChinese"/>
            <w:numRestart w:val="eachPage"/>
          </w:footnotePr>
          <w:pgSz w:w="16840" w:h="11907" w:orient="landscape"/>
          <w:pgMar w:top="1440" w:right="1803" w:bottom="1440" w:left="1803" w:header="851" w:footer="851" w:gutter="0"/>
          <w:cols w:space="425" w:num="1"/>
          <w:docGrid w:linePitch="312" w:charSpace="0"/>
        </w:sectPr>
      </w:pPr>
      <w:r>
        <w:rPr>
          <w:sz w:val="24"/>
        </w:rPr>
        <w:t>2.各个项目的进程可用线条的长短来表示。</w:t>
      </w:r>
    </w:p>
    <w:p>
      <w:pPr>
        <w:keepNext/>
        <w:keepLines/>
        <w:spacing w:line="380" w:lineRule="atLeast"/>
        <w:ind w:firstLine="0" w:firstLineChars="0"/>
        <w:rPr>
          <w:rFonts w:eastAsia="黑体"/>
          <w:bCs/>
          <w:kern w:val="44"/>
          <w:sz w:val="28"/>
          <w:szCs w:val="28"/>
        </w:rPr>
      </w:pPr>
      <w:bookmarkStart w:id="782" w:name="_Toc21138"/>
      <w:bookmarkStart w:id="783" w:name="_Toc22321"/>
      <w:bookmarkStart w:id="784" w:name="_Toc26657108"/>
      <w:bookmarkStart w:id="785" w:name="_Toc3750"/>
      <w:bookmarkStart w:id="786" w:name="_Toc26657109"/>
      <w:bookmarkStart w:id="787" w:name="_Toc32428"/>
      <w:r>
        <w:rPr>
          <w:rFonts w:eastAsia="黑体"/>
          <w:bCs/>
          <w:kern w:val="44"/>
          <w:sz w:val="28"/>
          <w:szCs w:val="28"/>
        </w:rPr>
        <w:t>附表三 工程管理曲线</w:t>
      </w:r>
      <w:bookmarkEnd w:id="782"/>
      <w:bookmarkEnd w:id="783"/>
      <w:bookmarkEnd w:id="784"/>
      <w:bookmarkEnd w:id="785"/>
    </w:p>
    <w:p>
      <w:pPr>
        <w:spacing w:line="360" w:lineRule="auto"/>
        <w:ind w:firstLine="0" w:firstLineChars="0"/>
        <w:rPr>
          <w:sz w:val="24"/>
        </w:rPr>
      </w:pPr>
    </w:p>
    <w:tbl>
      <w:tblPr>
        <w:tblStyle w:val="56"/>
        <w:tblW w:w="935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13"/>
        <w:gridCol w:w="404"/>
        <w:gridCol w:w="21"/>
        <w:gridCol w:w="384"/>
        <w:gridCol w:w="43"/>
        <w:gridCol w:w="362"/>
        <w:gridCol w:w="65"/>
        <w:gridCol w:w="341"/>
        <w:gridCol w:w="86"/>
        <w:gridCol w:w="319"/>
        <w:gridCol w:w="108"/>
        <w:gridCol w:w="297"/>
        <w:gridCol w:w="130"/>
        <w:gridCol w:w="275"/>
        <w:gridCol w:w="152"/>
        <w:gridCol w:w="254"/>
        <w:gridCol w:w="173"/>
        <w:gridCol w:w="232"/>
        <w:gridCol w:w="195"/>
        <w:gridCol w:w="210"/>
        <w:gridCol w:w="216"/>
        <w:gridCol w:w="190"/>
        <w:gridCol w:w="237"/>
        <w:gridCol w:w="168"/>
        <w:gridCol w:w="259"/>
        <w:gridCol w:w="147"/>
        <w:gridCol w:w="280"/>
        <w:gridCol w:w="126"/>
        <w:gridCol w:w="301"/>
        <w:gridCol w:w="105"/>
        <w:gridCol w:w="322"/>
        <w:gridCol w:w="84"/>
        <w:gridCol w:w="343"/>
        <w:gridCol w:w="63"/>
        <w:gridCol w:w="364"/>
        <w:gridCol w:w="42"/>
        <w:gridCol w:w="385"/>
        <w:gridCol w:w="23"/>
        <w:gridCol w:w="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1237" w:type="dxa"/>
            <w:gridSpan w:val="2"/>
            <w:tcBorders>
              <w:bottom w:val="nil"/>
              <w:tl2br w:val="single" w:color="auto" w:sz="4" w:space="0"/>
            </w:tcBorders>
          </w:tcPr>
          <w:p>
            <w:pPr>
              <w:spacing w:line="360" w:lineRule="auto"/>
              <w:ind w:left="-105" w:leftChars="-50" w:right="-105" w:rightChars="-50" w:firstLine="0" w:firstLineChars="0"/>
              <w:jc w:val="right"/>
              <w:rPr>
                <w:sz w:val="24"/>
              </w:rPr>
            </w:pPr>
            <w:r>
              <w:rPr>
                <w:sz w:val="24"/>
              </w:rPr>
              <w:pict>
                <v:line id="_x0000_s1034" o:spid="_x0000_s1034" o:spt="20" style="position:absolute;left:0pt;margin-left:-10.5pt;margin-top:0.5pt;height:40.9pt;width:64.5pt;z-index:251661312;mso-width-relative:page;mso-height-relative:page;" coordsize="21600,21600" o:allowincell="f" o:gfxdata="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ykwLNQAAAAI&#10;AQAADwAAAAAAAAABACAAAAAiAAAAZHJzL2Rvd25yZXYueG1sUEsBAhQAFAAAAAgAh07iQJ8AlB7n&#10;AQAArgMAAA4AAAAAAAAAAQAgAAAAIwEAAGRycy9lMm9Eb2MueG1sUEsFBgAAAAAGAAYAWQEAAHwF&#10;AAAAAA==&#10;">
                  <v:path arrowok="t"/>
                  <v:fill focussize="0,0"/>
                  <v:stroke weight="0.5pt"/>
                  <v:imagedata o:title=""/>
                  <o:lock v:ext="edit"/>
                </v:line>
              </w:pict>
            </w:r>
            <w:r>
              <w:rPr>
                <w:sz w:val="24"/>
              </w:rPr>
              <w:t>年度</w:t>
            </w:r>
          </w:p>
        </w:tc>
        <w:tc>
          <w:tcPr>
            <w:tcW w:w="4862" w:type="dxa"/>
            <w:gridSpan w:val="23"/>
            <w:vAlign w:val="center"/>
          </w:tcPr>
          <w:p>
            <w:pPr>
              <w:spacing w:line="360" w:lineRule="auto"/>
              <w:ind w:left="-105" w:leftChars="-50" w:right="-105" w:rightChars="-50" w:firstLine="0" w:firstLineChars="0"/>
              <w:jc w:val="center"/>
              <w:rPr>
                <w:sz w:val="24"/>
              </w:rPr>
            </w:pPr>
            <w:r>
              <w:rPr>
                <w:sz w:val="24"/>
                <w:u w:val="single"/>
              </w:rPr>
              <w:t xml:space="preserve">        </w:t>
            </w:r>
            <w:r>
              <w:rPr>
                <w:sz w:val="24"/>
              </w:rPr>
              <w:t>年</w:t>
            </w:r>
          </w:p>
        </w:tc>
        <w:tc>
          <w:tcPr>
            <w:tcW w:w="3252" w:type="dxa"/>
            <w:gridSpan w:val="15"/>
            <w:vAlign w:val="center"/>
          </w:tcPr>
          <w:p>
            <w:pPr>
              <w:spacing w:line="360" w:lineRule="auto"/>
              <w:ind w:left="-105" w:leftChars="-50" w:right="-105" w:rightChars="-50" w:firstLine="0" w:firstLineChars="0"/>
              <w:jc w:val="center"/>
              <w:rPr>
                <w:sz w:val="24"/>
              </w:rPr>
            </w:pPr>
            <w:r>
              <w:rPr>
                <w:sz w:val="24"/>
                <w:u w:val="single"/>
              </w:rPr>
              <w:t xml:space="preserve">          </w:t>
            </w:r>
            <w:r>
              <w:rPr>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7" w:type="dxa"/>
            <w:gridSpan w:val="2"/>
            <w:tcBorders>
              <w:top w:val="nil"/>
            </w:tcBorders>
          </w:tcPr>
          <w:p>
            <w:pPr>
              <w:spacing w:line="360" w:lineRule="auto"/>
              <w:ind w:left="-105" w:leftChars="-50" w:right="-105" w:rightChars="-50" w:firstLine="0" w:firstLineChars="0"/>
              <w:jc w:val="right"/>
              <w:rPr>
                <w:sz w:val="24"/>
              </w:rPr>
            </w:pPr>
            <w:r>
              <w:rPr>
                <w:sz w:val="24"/>
              </w:rPr>
              <w:t>季度</w:t>
            </w:r>
          </w:p>
          <w:p>
            <w:pPr>
              <w:spacing w:line="360" w:lineRule="auto"/>
              <w:ind w:left="-105" w:leftChars="-50" w:right="-105" w:rightChars="-50" w:firstLine="0" w:firstLineChars="0"/>
              <w:rPr>
                <w:sz w:val="24"/>
              </w:rPr>
            </w:pPr>
            <w:r>
              <w:rPr>
                <w:sz w:val="24"/>
              </w:rPr>
              <w:pict>
                <v:line id="_x0000_s1033" o:spid="_x0000_s1033" o:spt="20" style="position:absolute;left:0pt;margin-left:57.45pt;margin-top:5.35pt;height:0pt;width:404.2pt;z-index:251660288;mso-width-relative:page;mso-height-relative:page;" coordsize="21600,21600" o:gfxdata="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7jw2jWAAAACQEA&#10;AA8AAAAAAAAAAQAgAAAAIgAAAGRycy9kb3ducmV2LnhtbFBLAQIUABQAAAAIAIdO4kANFbcy4wEA&#10;AKoDAAAOAAAAAAAAAAEAIAAAACUBAABkcnMvZTJvRG9jLnhtbFBLBQYAAAAABgAGAFkBAAB6BQAA&#10;AAA=&#10;">
                  <v:path arrowok="t"/>
                  <v:fill focussize="0,0"/>
                  <v:stroke/>
                  <v:imagedata o:title=""/>
                  <o:lock v:ext="edit"/>
                </v:line>
              </w:pict>
            </w:r>
            <w:r>
              <w:rPr>
                <w:sz w:val="24"/>
              </w:rPr>
              <w:t>进度</w:t>
            </w:r>
          </w:p>
        </w:tc>
        <w:tc>
          <w:tcPr>
            <w:tcW w:w="404" w:type="dxa"/>
            <w:tcBorders>
              <w:right w:val="nil"/>
            </w:tcBorders>
            <w:vAlign w:val="bottom"/>
          </w:tcPr>
          <w:p>
            <w:pPr>
              <w:spacing w:line="360" w:lineRule="auto"/>
              <w:ind w:left="-105" w:leftChars="-50" w:right="-105" w:rightChars="-50" w:firstLine="0" w:firstLineChars="0"/>
              <w:jc w:val="center"/>
              <w:rPr>
                <w:sz w:val="24"/>
              </w:rPr>
            </w:pPr>
          </w:p>
          <w:p>
            <w:pPr>
              <w:spacing w:line="360" w:lineRule="auto"/>
              <w:ind w:left="-105" w:leftChars="-50" w:right="-105" w:rightChars="-50" w:firstLine="0" w:firstLineChars="0"/>
              <w:jc w:val="center"/>
              <w:rPr>
                <w:sz w:val="24"/>
              </w:rPr>
            </w:pPr>
            <w:r>
              <w:rPr>
                <w:sz w:val="24"/>
              </w:rPr>
              <w:t>1</w:t>
            </w:r>
          </w:p>
        </w:tc>
        <w:tc>
          <w:tcPr>
            <w:tcW w:w="405" w:type="dxa"/>
            <w:gridSpan w:val="2"/>
            <w:tcBorders>
              <w:left w:val="nil"/>
              <w:right w:val="nil"/>
            </w:tcBorders>
            <w:vAlign w:val="bottom"/>
          </w:tcPr>
          <w:p>
            <w:pPr>
              <w:spacing w:line="360" w:lineRule="auto"/>
              <w:ind w:left="-105" w:leftChars="-50" w:right="-105" w:rightChars="-50" w:firstLine="0" w:firstLineChars="0"/>
              <w:jc w:val="center"/>
              <w:rPr>
                <w:sz w:val="24"/>
              </w:rPr>
            </w:pPr>
            <w:r>
              <w:rPr>
                <w:sz w:val="24"/>
              </w:rPr>
              <w:t>一</w:t>
            </w:r>
          </w:p>
          <w:p>
            <w:pPr>
              <w:spacing w:line="360" w:lineRule="auto"/>
              <w:ind w:left="-105" w:leftChars="-50" w:right="-105" w:rightChars="-50" w:firstLine="0" w:firstLineChars="0"/>
              <w:jc w:val="center"/>
              <w:rPr>
                <w:sz w:val="24"/>
              </w:rPr>
            </w:pPr>
          </w:p>
          <w:p>
            <w:pPr>
              <w:spacing w:line="360" w:lineRule="auto"/>
              <w:ind w:left="-105" w:leftChars="-50" w:right="-105" w:rightChars="-50" w:firstLine="0" w:firstLineChars="0"/>
              <w:jc w:val="center"/>
              <w:rPr>
                <w:sz w:val="24"/>
              </w:rPr>
            </w:pPr>
            <w:r>
              <w:rPr>
                <w:sz w:val="24"/>
              </w:rPr>
              <w:t>2</w:t>
            </w:r>
          </w:p>
        </w:tc>
        <w:tc>
          <w:tcPr>
            <w:tcW w:w="405" w:type="dxa"/>
            <w:gridSpan w:val="2"/>
            <w:tcBorders>
              <w:left w:val="nil"/>
            </w:tcBorders>
            <w:vAlign w:val="bottom"/>
          </w:tcPr>
          <w:p>
            <w:pPr>
              <w:spacing w:line="360" w:lineRule="auto"/>
              <w:ind w:left="-105" w:leftChars="-50" w:right="-105" w:rightChars="-50" w:firstLine="0" w:firstLineChars="0"/>
              <w:jc w:val="center"/>
              <w:rPr>
                <w:sz w:val="24"/>
              </w:rPr>
            </w:pPr>
            <w:r>
              <w:rPr>
                <w:sz w:val="24"/>
              </w:rPr>
              <w:t>3</w:t>
            </w:r>
          </w:p>
        </w:tc>
        <w:tc>
          <w:tcPr>
            <w:tcW w:w="406" w:type="dxa"/>
            <w:gridSpan w:val="2"/>
            <w:tcBorders>
              <w:right w:val="nil"/>
            </w:tcBorders>
            <w:vAlign w:val="bottom"/>
          </w:tcPr>
          <w:p>
            <w:pPr>
              <w:spacing w:line="360" w:lineRule="auto"/>
              <w:ind w:left="-105" w:leftChars="-50" w:right="-105" w:rightChars="-50" w:firstLine="0" w:firstLineChars="0"/>
              <w:jc w:val="center"/>
              <w:rPr>
                <w:sz w:val="24"/>
              </w:rPr>
            </w:pPr>
            <w:r>
              <w:rPr>
                <w:sz w:val="24"/>
              </w:rPr>
              <w:t>4</w:t>
            </w:r>
          </w:p>
        </w:tc>
        <w:tc>
          <w:tcPr>
            <w:tcW w:w="405" w:type="dxa"/>
            <w:gridSpan w:val="2"/>
            <w:tcBorders>
              <w:left w:val="nil"/>
              <w:right w:val="nil"/>
            </w:tcBorders>
            <w:vAlign w:val="bottom"/>
          </w:tcPr>
          <w:p>
            <w:pPr>
              <w:spacing w:line="360" w:lineRule="auto"/>
              <w:ind w:left="-105" w:leftChars="-50" w:right="-105" w:rightChars="-50" w:firstLine="0" w:firstLineChars="0"/>
              <w:jc w:val="center"/>
              <w:rPr>
                <w:sz w:val="24"/>
              </w:rPr>
            </w:pPr>
            <w:r>
              <w:rPr>
                <w:sz w:val="24"/>
              </w:rPr>
              <w:t>二</w:t>
            </w:r>
          </w:p>
          <w:p>
            <w:pPr>
              <w:spacing w:line="360" w:lineRule="auto"/>
              <w:ind w:left="-105" w:leftChars="-50" w:right="-105" w:rightChars="-50" w:firstLine="0" w:firstLineChars="0"/>
              <w:jc w:val="center"/>
              <w:rPr>
                <w:sz w:val="24"/>
              </w:rPr>
            </w:pPr>
          </w:p>
          <w:p>
            <w:pPr>
              <w:spacing w:line="360" w:lineRule="auto"/>
              <w:ind w:left="-105" w:leftChars="-50" w:right="-105" w:rightChars="-50" w:firstLine="0" w:firstLineChars="0"/>
              <w:jc w:val="center"/>
              <w:rPr>
                <w:sz w:val="24"/>
              </w:rPr>
            </w:pPr>
            <w:r>
              <w:rPr>
                <w:sz w:val="24"/>
              </w:rPr>
              <w:t>5</w:t>
            </w:r>
          </w:p>
        </w:tc>
        <w:tc>
          <w:tcPr>
            <w:tcW w:w="405" w:type="dxa"/>
            <w:gridSpan w:val="2"/>
            <w:tcBorders>
              <w:left w:val="nil"/>
            </w:tcBorders>
            <w:vAlign w:val="bottom"/>
          </w:tcPr>
          <w:p>
            <w:pPr>
              <w:spacing w:line="360" w:lineRule="auto"/>
              <w:ind w:left="-105" w:leftChars="-50" w:right="-105" w:rightChars="-50" w:firstLine="0" w:firstLineChars="0"/>
              <w:jc w:val="center"/>
              <w:rPr>
                <w:sz w:val="24"/>
              </w:rPr>
            </w:pPr>
            <w:r>
              <w:rPr>
                <w:sz w:val="24"/>
              </w:rPr>
              <w:t>6</w:t>
            </w:r>
          </w:p>
        </w:tc>
        <w:tc>
          <w:tcPr>
            <w:tcW w:w="405" w:type="dxa"/>
            <w:gridSpan w:val="2"/>
            <w:tcBorders>
              <w:right w:val="nil"/>
            </w:tcBorders>
            <w:vAlign w:val="bottom"/>
          </w:tcPr>
          <w:p>
            <w:pPr>
              <w:spacing w:line="360" w:lineRule="auto"/>
              <w:ind w:left="-105" w:leftChars="-50" w:right="-105" w:rightChars="-50" w:firstLine="0" w:firstLineChars="0"/>
              <w:jc w:val="center"/>
              <w:rPr>
                <w:sz w:val="24"/>
              </w:rPr>
            </w:pPr>
            <w:r>
              <w:rPr>
                <w:sz w:val="24"/>
              </w:rPr>
              <w:t>7</w:t>
            </w:r>
          </w:p>
        </w:tc>
        <w:tc>
          <w:tcPr>
            <w:tcW w:w="406" w:type="dxa"/>
            <w:gridSpan w:val="2"/>
            <w:tcBorders>
              <w:left w:val="nil"/>
              <w:right w:val="nil"/>
            </w:tcBorders>
            <w:vAlign w:val="bottom"/>
          </w:tcPr>
          <w:p>
            <w:pPr>
              <w:spacing w:line="360" w:lineRule="auto"/>
              <w:ind w:left="-105" w:leftChars="-50" w:right="-105" w:rightChars="-50" w:firstLine="0" w:firstLineChars="0"/>
              <w:jc w:val="center"/>
              <w:rPr>
                <w:sz w:val="24"/>
              </w:rPr>
            </w:pPr>
            <w:r>
              <w:rPr>
                <w:sz w:val="24"/>
              </w:rPr>
              <w:t>三</w:t>
            </w:r>
          </w:p>
          <w:p>
            <w:pPr>
              <w:spacing w:line="360" w:lineRule="auto"/>
              <w:ind w:left="-105" w:leftChars="-50" w:right="-105" w:rightChars="-50" w:firstLine="0" w:firstLineChars="0"/>
              <w:jc w:val="center"/>
              <w:rPr>
                <w:sz w:val="24"/>
              </w:rPr>
            </w:pPr>
          </w:p>
          <w:p>
            <w:pPr>
              <w:spacing w:line="360" w:lineRule="auto"/>
              <w:ind w:left="-105" w:leftChars="-50" w:right="-105" w:rightChars="-50" w:firstLine="0" w:firstLineChars="0"/>
              <w:jc w:val="center"/>
              <w:rPr>
                <w:sz w:val="24"/>
              </w:rPr>
            </w:pPr>
            <w:r>
              <w:rPr>
                <w:sz w:val="24"/>
              </w:rPr>
              <w:t>8</w:t>
            </w:r>
          </w:p>
        </w:tc>
        <w:tc>
          <w:tcPr>
            <w:tcW w:w="405" w:type="dxa"/>
            <w:gridSpan w:val="2"/>
            <w:tcBorders>
              <w:left w:val="nil"/>
            </w:tcBorders>
            <w:vAlign w:val="bottom"/>
          </w:tcPr>
          <w:p>
            <w:pPr>
              <w:spacing w:line="360" w:lineRule="auto"/>
              <w:ind w:left="-105" w:leftChars="-50" w:right="-105" w:rightChars="-50" w:firstLine="0" w:firstLineChars="0"/>
              <w:jc w:val="center"/>
              <w:rPr>
                <w:sz w:val="24"/>
              </w:rPr>
            </w:pPr>
            <w:r>
              <w:rPr>
                <w:sz w:val="24"/>
              </w:rPr>
              <w:t>9</w:t>
            </w:r>
          </w:p>
        </w:tc>
        <w:tc>
          <w:tcPr>
            <w:tcW w:w="405" w:type="dxa"/>
            <w:gridSpan w:val="2"/>
            <w:tcBorders>
              <w:right w:val="nil"/>
            </w:tcBorders>
            <w:vAlign w:val="bottom"/>
          </w:tcPr>
          <w:p>
            <w:pPr>
              <w:spacing w:line="360" w:lineRule="auto"/>
              <w:ind w:left="-105" w:leftChars="-50" w:right="-105" w:rightChars="-50" w:firstLine="0" w:firstLineChars="0"/>
              <w:jc w:val="center"/>
              <w:rPr>
                <w:sz w:val="24"/>
              </w:rPr>
            </w:pPr>
            <w:r>
              <w:rPr>
                <w:sz w:val="24"/>
              </w:rPr>
              <w:t>10</w:t>
            </w:r>
          </w:p>
        </w:tc>
        <w:tc>
          <w:tcPr>
            <w:tcW w:w="406" w:type="dxa"/>
            <w:gridSpan w:val="2"/>
            <w:tcBorders>
              <w:left w:val="nil"/>
              <w:right w:val="nil"/>
            </w:tcBorders>
            <w:vAlign w:val="bottom"/>
          </w:tcPr>
          <w:p>
            <w:pPr>
              <w:spacing w:line="360" w:lineRule="auto"/>
              <w:ind w:left="-105" w:leftChars="-50" w:right="-105" w:rightChars="-50" w:firstLine="0" w:firstLineChars="0"/>
              <w:jc w:val="center"/>
              <w:rPr>
                <w:sz w:val="24"/>
              </w:rPr>
            </w:pPr>
            <w:r>
              <w:rPr>
                <w:sz w:val="24"/>
              </w:rPr>
              <w:t>四</w:t>
            </w:r>
          </w:p>
          <w:p>
            <w:pPr>
              <w:spacing w:line="360" w:lineRule="auto"/>
              <w:ind w:left="-105" w:leftChars="-50" w:right="-105" w:rightChars="-50" w:firstLine="0" w:firstLineChars="0"/>
              <w:jc w:val="center"/>
              <w:rPr>
                <w:sz w:val="24"/>
              </w:rPr>
            </w:pPr>
          </w:p>
          <w:p>
            <w:pPr>
              <w:spacing w:line="360" w:lineRule="auto"/>
              <w:ind w:left="-105" w:leftChars="-50" w:right="-105" w:rightChars="-50" w:firstLine="0" w:firstLineChars="0"/>
              <w:jc w:val="center"/>
              <w:rPr>
                <w:sz w:val="24"/>
              </w:rPr>
            </w:pPr>
            <w:r>
              <w:rPr>
                <w:sz w:val="24"/>
              </w:rPr>
              <w:t>11</w:t>
            </w:r>
          </w:p>
        </w:tc>
        <w:tc>
          <w:tcPr>
            <w:tcW w:w="405" w:type="dxa"/>
            <w:gridSpan w:val="2"/>
            <w:tcBorders>
              <w:left w:val="nil"/>
            </w:tcBorders>
            <w:vAlign w:val="bottom"/>
          </w:tcPr>
          <w:p>
            <w:pPr>
              <w:spacing w:line="360" w:lineRule="auto"/>
              <w:ind w:left="-105" w:leftChars="-50" w:right="-105" w:rightChars="-50" w:firstLine="0" w:firstLineChars="0"/>
              <w:jc w:val="center"/>
              <w:rPr>
                <w:sz w:val="24"/>
              </w:rPr>
            </w:pPr>
            <w:r>
              <w:rPr>
                <w:sz w:val="24"/>
              </w:rPr>
              <w:t>12</w:t>
            </w:r>
          </w:p>
        </w:tc>
        <w:tc>
          <w:tcPr>
            <w:tcW w:w="406" w:type="dxa"/>
            <w:gridSpan w:val="2"/>
            <w:tcBorders>
              <w:right w:val="nil"/>
            </w:tcBorders>
            <w:vAlign w:val="bottom"/>
          </w:tcPr>
          <w:p>
            <w:pPr>
              <w:spacing w:line="360" w:lineRule="auto"/>
              <w:ind w:left="-105" w:leftChars="-50" w:right="-105" w:rightChars="-50" w:firstLine="0" w:firstLineChars="0"/>
              <w:jc w:val="center"/>
              <w:rPr>
                <w:sz w:val="24"/>
              </w:rPr>
            </w:pPr>
            <w:r>
              <w:rPr>
                <w:sz w:val="24"/>
              </w:rPr>
              <w:t>1</w:t>
            </w:r>
          </w:p>
        </w:tc>
        <w:tc>
          <w:tcPr>
            <w:tcW w:w="406" w:type="dxa"/>
            <w:gridSpan w:val="2"/>
            <w:tcBorders>
              <w:left w:val="nil"/>
              <w:right w:val="nil"/>
            </w:tcBorders>
            <w:vAlign w:val="bottom"/>
          </w:tcPr>
          <w:p>
            <w:pPr>
              <w:spacing w:line="360" w:lineRule="auto"/>
              <w:ind w:left="-105" w:leftChars="-50" w:right="-105" w:rightChars="-50" w:firstLine="0" w:firstLineChars="0"/>
              <w:jc w:val="center"/>
              <w:rPr>
                <w:sz w:val="24"/>
              </w:rPr>
            </w:pPr>
            <w:r>
              <w:rPr>
                <w:sz w:val="24"/>
              </w:rPr>
              <w:t>一</w:t>
            </w:r>
          </w:p>
          <w:p>
            <w:pPr>
              <w:spacing w:line="360" w:lineRule="auto"/>
              <w:ind w:left="-105" w:leftChars="-50" w:right="-105" w:rightChars="-50" w:firstLine="0" w:firstLineChars="0"/>
              <w:jc w:val="center"/>
              <w:rPr>
                <w:sz w:val="24"/>
              </w:rPr>
            </w:pPr>
          </w:p>
          <w:p>
            <w:pPr>
              <w:spacing w:line="360" w:lineRule="auto"/>
              <w:ind w:left="-105" w:leftChars="-50" w:right="-105" w:rightChars="-50" w:firstLine="0" w:firstLineChars="0"/>
              <w:jc w:val="center"/>
              <w:rPr>
                <w:sz w:val="24"/>
              </w:rPr>
            </w:pPr>
            <w:r>
              <w:rPr>
                <w:sz w:val="24"/>
              </w:rPr>
              <w:t>2</w:t>
            </w:r>
          </w:p>
        </w:tc>
        <w:tc>
          <w:tcPr>
            <w:tcW w:w="406" w:type="dxa"/>
            <w:gridSpan w:val="2"/>
            <w:tcBorders>
              <w:left w:val="nil"/>
            </w:tcBorders>
            <w:vAlign w:val="bottom"/>
          </w:tcPr>
          <w:p>
            <w:pPr>
              <w:spacing w:line="360" w:lineRule="auto"/>
              <w:ind w:left="-105" w:leftChars="-50" w:right="-105" w:rightChars="-50" w:firstLine="0" w:firstLineChars="0"/>
              <w:jc w:val="center"/>
              <w:rPr>
                <w:sz w:val="24"/>
              </w:rPr>
            </w:pPr>
            <w:r>
              <w:rPr>
                <w:sz w:val="24"/>
              </w:rPr>
              <w:t>3</w:t>
            </w:r>
          </w:p>
        </w:tc>
        <w:tc>
          <w:tcPr>
            <w:tcW w:w="406" w:type="dxa"/>
            <w:gridSpan w:val="2"/>
            <w:tcBorders>
              <w:right w:val="nil"/>
            </w:tcBorders>
            <w:vAlign w:val="bottom"/>
          </w:tcPr>
          <w:p>
            <w:pPr>
              <w:spacing w:line="360" w:lineRule="auto"/>
              <w:ind w:left="-105" w:leftChars="-50" w:right="-105" w:rightChars="-50" w:firstLine="0" w:firstLineChars="0"/>
              <w:jc w:val="center"/>
              <w:rPr>
                <w:sz w:val="24"/>
              </w:rPr>
            </w:pPr>
            <w:r>
              <w:rPr>
                <w:sz w:val="24"/>
              </w:rPr>
              <w:t>4</w:t>
            </w:r>
          </w:p>
        </w:tc>
        <w:tc>
          <w:tcPr>
            <w:tcW w:w="406" w:type="dxa"/>
            <w:gridSpan w:val="2"/>
            <w:tcBorders>
              <w:left w:val="nil"/>
              <w:right w:val="nil"/>
            </w:tcBorders>
            <w:vAlign w:val="bottom"/>
          </w:tcPr>
          <w:p>
            <w:pPr>
              <w:spacing w:line="360" w:lineRule="auto"/>
              <w:ind w:left="-105" w:leftChars="-50" w:right="-105" w:rightChars="-50" w:firstLine="0" w:firstLineChars="0"/>
              <w:jc w:val="center"/>
              <w:rPr>
                <w:sz w:val="24"/>
              </w:rPr>
            </w:pPr>
            <w:r>
              <w:rPr>
                <w:sz w:val="24"/>
              </w:rPr>
              <w:t>二</w:t>
            </w:r>
          </w:p>
          <w:p>
            <w:pPr>
              <w:spacing w:line="360" w:lineRule="auto"/>
              <w:ind w:left="-105" w:leftChars="-50" w:right="-105" w:rightChars="-50" w:firstLine="0" w:firstLineChars="0"/>
              <w:jc w:val="center"/>
              <w:rPr>
                <w:sz w:val="24"/>
              </w:rPr>
            </w:pPr>
          </w:p>
          <w:p>
            <w:pPr>
              <w:spacing w:line="360" w:lineRule="auto"/>
              <w:ind w:left="-105" w:leftChars="-50" w:right="-105" w:rightChars="-50" w:firstLine="0" w:firstLineChars="0"/>
              <w:jc w:val="center"/>
              <w:rPr>
                <w:sz w:val="24"/>
              </w:rPr>
            </w:pPr>
            <w:r>
              <w:rPr>
                <w:sz w:val="24"/>
              </w:rPr>
              <w:t>5</w:t>
            </w:r>
          </w:p>
        </w:tc>
        <w:tc>
          <w:tcPr>
            <w:tcW w:w="406" w:type="dxa"/>
            <w:gridSpan w:val="2"/>
            <w:tcBorders>
              <w:left w:val="nil"/>
            </w:tcBorders>
            <w:vAlign w:val="bottom"/>
          </w:tcPr>
          <w:p>
            <w:pPr>
              <w:spacing w:line="360" w:lineRule="auto"/>
              <w:ind w:left="-105" w:leftChars="-50" w:right="-105" w:rightChars="-50" w:firstLine="0" w:firstLineChars="0"/>
              <w:jc w:val="center"/>
              <w:rPr>
                <w:sz w:val="24"/>
              </w:rPr>
            </w:pPr>
            <w:r>
              <w:rPr>
                <w:sz w:val="24"/>
              </w:rPr>
              <w:t>6</w:t>
            </w:r>
          </w:p>
        </w:tc>
        <w:tc>
          <w:tcPr>
            <w:tcW w:w="816" w:type="dxa"/>
            <w:gridSpan w:val="3"/>
            <w:shd w:val="clear" w:color="auto" w:fill="auto"/>
          </w:tcPr>
          <w:p>
            <w:pPr>
              <w:spacing w:line="360" w:lineRule="auto"/>
              <w:ind w:left="-105" w:leftChars="-50" w:right="-105" w:rightChars="-50" w:firstLine="0" w:firstLineChars="0"/>
              <w:jc w:val="center"/>
              <w:rPr>
                <w:sz w:val="24"/>
              </w:rPr>
            </w:pPr>
            <w:r>
              <w:rPr>
                <w:sz w:val="24"/>
              </w:rPr>
              <w:t>……</w:t>
            </w:r>
          </w:p>
          <w:p>
            <w:pPr>
              <w:spacing w:line="360" w:lineRule="auto"/>
              <w:ind w:left="-105" w:leftChars="-50" w:right="-105" w:rightChars="-50"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restart"/>
            <w:tcBorders>
              <w:right w:val="nil"/>
            </w:tcBorders>
            <w:vAlign w:val="center"/>
          </w:tcPr>
          <w:p>
            <w:pPr>
              <w:spacing w:line="360" w:lineRule="auto"/>
              <w:ind w:left="-105" w:leftChars="-50" w:right="-105" w:rightChars="-50" w:firstLine="0" w:firstLineChars="0"/>
              <w:jc w:val="center"/>
              <w:rPr>
                <w:sz w:val="24"/>
              </w:rPr>
            </w:pPr>
            <w:r>
              <w:rPr>
                <w:sz w:val="24"/>
              </w:rPr>
              <w:t>工</w:t>
            </w:r>
          </w:p>
          <w:p>
            <w:pPr>
              <w:spacing w:line="360" w:lineRule="auto"/>
              <w:ind w:left="-105" w:leftChars="-50" w:right="-105" w:rightChars="-50" w:firstLine="0" w:firstLineChars="0"/>
              <w:jc w:val="center"/>
              <w:rPr>
                <w:sz w:val="24"/>
              </w:rPr>
            </w:pPr>
            <w:r>
              <w:rPr>
                <w:sz w:val="24"/>
              </w:rPr>
              <w:t>程</w:t>
            </w:r>
          </w:p>
          <w:p>
            <w:pPr>
              <w:spacing w:line="360" w:lineRule="auto"/>
              <w:ind w:left="-105" w:leftChars="-50" w:right="-105" w:rightChars="-50" w:firstLine="0" w:firstLineChars="0"/>
              <w:jc w:val="center"/>
              <w:rPr>
                <w:sz w:val="24"/>
              </w:rPr>
            </w:pPr>
            <w:r>
              <w:rPr>
                <w:sz w:val="24"/>
              </w:rPr>
              <w:t>完</w:t>
            </w:r>
          </w:p>
          <w:p>
            <w:pPr>
              <w:spacing w:line="360" w:lineRule="auto"/>
              <w:ind w:left="-105" w:leftChars="-50" w:right="-105" w:rightChars="-50" w:firstLine="0" w:firstLineChars="0"/>
              <w:jc w:val="center"/>
              <w:rPr>
                <w:sz w:val="24"/>
              </w:rPr>
            </w:pPr>
            <w:r>
              <w:rPr>
                <w:sz w:val="24"/>
              </w:rPr>
              <w:t>成</w:t>
            </w:r>
          </w:p>
          <w:p>
            <w:pPr>
              <w:spacing w:line="360" w:lineRule="auto"/>
              <w:ind w:left="-105" w:leftChars="-50" w:right="-105" w:rightChars="-50" w:firstLine="0" w:firstLineChars="0"/>
              <w:jc w:val="center"/>
              <w:rPr>
                <w:sz w:val="24"/>
              </w:rPr>
            </w:pPr>
            <w:r>
              <w:rPr>
                <w:sz w:val="24"/>
              </w:rPr>
              <w:t>的</w:t>
            </w:r>
          </w:p>
          <w:p>
            <w:pPr>
              <w:spacing w:line="360" w:lineRule="auto"/>
              <w:ind w:left="-105" w:leftChars="-50" w:right="-105" w:rightChars="-50" w:firstLine="0" w:firstLineChars="0"/>
              <w:jc w:val="center"/>
              <w:rPr>
                <w:sz w:val="24"/>
              </w:rPr>
            </w:pPr>
            <w:r>
              <w:rPr>
                <w:sz w:val="24"/>
              </w:rPr>
              <w:t>百</w:t>
            </w:r>
          </w:p>
          <w:p>
            <w:pPr>
              <w:spacing w:line="360" w:lineRule="auto"/>
              <w:ind w:left="-105" w:leftChars="-50" w:right="-105" w:rightChars="-50" w:firstLine="0" w:firstLineChars="0"/>
              <w:jc w:val="center"/>
              <w:rPr>
                <w:sz w:val="24"/>
              </w:rPr>
            </w:pPr>
            <w:r>
              <w:rPr>
                <w:sz w:val="24"/>
              </w:rPr>
              <w:t>分</w:t>
            </w:r>
          </w:p>
          <w:p>
            <w:pPr>
              <w:spacing w:line="360" w:lineRule="auto"/>
              <w:ind w:left="-105" w:leftChars="-50" w:right="-105" w:rightChars="-50" w:firstLine="0" w:firstLineChars="0"/>
              <w:jc w:val="center"/>
              <w:rPr>
                <w:sz w:val="24"/>
              </w:rPr>
            </w:pPr>
            <w:r>
              <w:rPr>
                <w:sz w:val="24"/>
              </w:rPr>
              <w:t>比</w:t>
            </w:r>
          </w:p>
          <w:p>
            <w:pPr>
              <w:spacing w:line="360" w:lineRule="auto"/>
              <w:ind w:left="-105" w:leftChars="-50" w:right="-105" w:rightChars="-50" w:firstLine="0" w:firstLineChars="0"/>
              <w:jc w:val="center"/>
              <w:rPr>
                <w:sz w:val="24"/>
              </w:rPr>
            </w:pPr>
            <w:r>
              <w:rPr>
                <w:sz w:val="24"/>
              </w:rPr>
              <w:t>（%）</w:t>
            </w: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r>
              <w:rPr>
                <w:sz w:val="24"/>
              </w:rPr>
              <w:t>100</w:t>
            </w: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r>
              <w:rPr>
                <w:sz w:val="24"/>
              </w:rPr>
              <w:t>90</w:t>
            </w: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r>
              <w:rPr>
                <w:sz w:val="24"/>
              </w:rPr>
              <w:t>80</w:t>
            </w: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r>
              <w:rPr>
                <w:sz w:val="24"/>
              </w:rPr>
              <w:t>70</w:t>
            </w: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r>
              <w:rPr>
                <w:sz w:val="24"/>
              </w:rPr>
              <w:t>60</w:t>
            </w: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r>
              <w:rPr>
                <w:sz w:val="24"/>
              </w:rPr>
              <w:t>50</w:t>
            </w: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r>
              <w:rPr>
                <w:sz w:val="24"/>
              </w:rPr>
              <w:t>40</w:t>
            </w: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r>
              <w:rPr>
                <w:sz w:val="24"/>
              </w:rPr>
              <w:t>30</w:t>
            </w: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r>
              <w:rPr>
                <w:sz w:val="24"/>
              </w:rPr>
              <w:t>20</w:t>
            </w: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shd w:val="clear" w:color="auto" w:fill="auto"/>
          </w:tcPr>
          <w:p>
            <w:pPr>
              <w:spacing w:line="360" w:lineRule="auto"/>
              <w:ind w:left="-105" w:leftChars="-50" w:right="-105" w:rightChars="-50" w:firstLine="0" w:firstLineChars="0"/>
              <w:rPr>
                <w:sz w:val="24"/>
              </w:rPr>
            </w:pPr>
          </w:p>
        </w:tc>
        <w:tc>
          <w:tcPr>
            <w:tcW w:w="408" w:type="dxa"/>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vMerge w:val="continue"/>
            <w:tcBorders>
              <w:bottom w:val="nil"/>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single" w:color="auto" w:sz="4" w:space="0"/>
            </w:tcBorders>
          </w:tcPr>
          <w:p>
            <w:pPr>
              <w:spacing w:line="360" w:lineRule="auto"/>
              <w:ind w:left="-105" w:leftChars="-50" w:right="-105" w:rightChars="-50" w:firstLine="0" w:firstLineChars="0"/>
              <w:jc w:val="right"/>
              <w:rPr>
                <w:sz w:val="24"/>
              </w:rPr>
            </w:pPr>
            <w:r>
              <w:rPr>
                <w:sz w:val="24"/>
              </w:rPr>
              <w:t>10</w:t>
            </w:r>
          </w:p>
        </w:tc>
        <w:tc>
          <w:tcPr>
            <w:tcW w:w="404" w:type="dxa"/>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5"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6" w:type="dxa"/>
            <w:gridSpan w:val="2"/>
          </w:tcPr>
          <w:p>
            <w:pPr>
              <w:spacing w:line="360" w:lineRule="auto"/>
              <w:ind w:left="-105" w:leftChars="-50" w:right="-105" w:rightChars="-50" w:firstLine="0" w:firstLineChars="0"/>
              <w:rPr>
                <w:sz w:val="24"/>
              </w:rPr>
            </w:pPr>
          </w:p>
        </w:tc>
        <w:tc>
          <w:tcPr>
            <w:tcW w:w="408" w:type="dxa"/>
            <w:gridSpan w:val="2"/>
            <w:tcBorders>
              <w:bottom w:val="single" w:color="auto" w:sz="4" w:space="0"/>
            </w:tcBorders>
            <w:shd w:val="clear" w:color="auto" w:fill="auto"/>
          </w:tcPr>
          <w:p>
            <w:pPr>
              <w:spacing w:line="360" w:lineRule="auto"/>
              <w:ind w:left="-105" w:leftChars="-50" w:right="-105" w:rightChars="-50" w:firstLine="0" w:firstLineChars="0"/>
              <w:rPr>
                <w:sz w:val="24"/>
              </w:rPr>
            </w:pPr>
          </w:p>
        </w:tc>
        <w:tc>
          <w:tcPr>
            <w:tcW w:w="408" w:type="dxa"/>
            <w:tcBorders>
              <w:bottom w:val="single" w:color="auto" w:sz="4" w:space="0"/>
            </w:tcBorders>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Borders>
              <w:top w:val="nil"/>
              <w:bottom w:val="nil"/>
              <w:right w:val="nil"/>
            </w:tcBorders>
          </w:tcPr>
          <w:p>
            <w:pPr>
              <w:spacing w:line="360" w:lineRule="auto"/>
              <w:ind w:left="-105" w:leftChars="-50" w:right="-105" w:rightChars="-50" w:firstLine="0" w:firstLineChars="0"/>
              <w:rPr>
                <w:sz w:val="24"/>
              </w:rPr>
            </w:pPr>
          </w:p>
        </w:tc>
        <w:tc>
          <w:tcPr>
            <w:tcW w:w="413" w:type="dxa"/>
            <w:tcBorders>
              <w:top w:val="nil"/>
              <w:left w:val="nil"/>
              <w:bottom w:val="single" w:color="auto" w:sz="4" w:space="0"/>
              <w:right w:val="single" w:color="auto" w:sz="4" w:space="0"/>
            </w:tcBorders>
          </w:tcPr>
          <w:p>
            <w:pPr>
              <w:spacing w:line="360" w:lineRule="auto"/>
              <w:ind w:left="-105" w:leftChars="-50" w:right="-105" w:rightChars="-50" w:firstLine="0" w:firstLineChars="0"/>
              <w:rPr>
                <w:sz w:val="24"/>
              </w:rPr>
            </w:pPr>
          </w:p>
        </w:tc>
        <w:tc>
          <w:tcPr>
            <w:tcW w:w="404" w:type="dxa"/>
            <w:tcBorders>
              <w:bottom w:val="nil"/>
            </w:tcBorders>
          </w:tcPr>
          <w:p>
            <w:pPr>
              <w:spacing w:line="360" w:lineRule="auto"/>
              <w:ind w:left="-105" w:leftChars="-50" w:right="-105" w:rightChars="-50" w:firstLine="0" w:firstLineChars="0"/>
              <w:rPr>
                <w:sz w:val="24"/>
              </w:rPr>
            </w:pPr>
          </w:p>
        </w:tc>
        <w:tc>
          <w:tcPr>
            <w:tcW w:w="405" w:type="dxa"/>
            <w:gridSpan w:val="2"/>
            <w:tcBorders>
              <w:bottom w:val="nil"/>
            </w:tcBorders>
          </w:tcPr>
          <w:p>
            <w:pPr>
              <w:spacing w:line="360" w:lineRule="auto"/>
              <w:ind w:left="-105" w:leftChars="-50" w:right="-105" w:rightChars="-50" w:firstLine="0" w:firstLineChars="0"/>
              <w:rPr>
                <w:sz w:val="24"/>
              </w:rPr>
            </w:pPr>
          </w:p>
        </w:tc>
        <w:tc>
          <w:tcPr>
            <w:tcW w:w="405" w:type="dxa"/>
            <w:gridSpan w:val="2"/>
            <w:tcBorders>
              <w:bottom w:val="nil"/>
            </w:tcBorders>
          </w:tcPr>
          <w:p>
            <w:pPr>
              <w:spacing w:line="360" w:lineRule="auto"/>
              <w:ind w:left="-105" w:leftChars="-50" w:right="-105" w:rightChars="-50" w:firstLine="0" w:firstLineChars="0"/>
              <w:rPr>
                <w:sz w:val="24"/>
              </w:rPr>
            </w:pPr>
          </w:p>
        </w:tc>
        <w:tc>
          <w:tcPr>
            <w:tcW w:w="406" w:type="dxa"/>
            <w:gridSpan w:val="2"/>
            <w:tcBorders>
              <w:bottom w:val="nil"/>
            </w:tcBorders>
          </w:tcPr>
          <w:p>
            <w:pPr>
              <w:spacing w:line="360" w:lineRule="auto"/>
              <w:ind w:left="-105" w:leftChars="-50" w:right="-105" w:rightChars="-50" w:firstLine="0" w:firstLineChars="0"/>
              <w:rPr>
                <w:sz w:val="24"/>
              </w:rPr>
            </w:pPr>
          </w:p>
        </w:tc>
        <w:tc>
          <w:tcPr>
            <w:tcW w:w="405" w:type="dxa"/>
            <w:gridSpan w:val="2"/>
            <w:tcBorders>
              <w:bottom w:val="nil"/>
            </w:tcBorders>
          </w:tcPr>
          <w:p>
            <w:pPr>
              <w:spacing w:line="360" w:lineRule="auto"/>
              <w:ind w:left="-105" w:leftChars="-50" w:right="-105" w:rightChars="-50" w:firstLine="0" w:firstLineChars="0"/>
              <w:rPr>
                <w:sz w:val="24"/>
              </w:rPr>
            </w:pPr>
          </w:p>
        </w:tc>
        <w:tc>
          <w:tcPr>
            <w:tcW w:w="405" w:type="dxa"/>
            <w:gridSpan w:val="2"/>
            <w:tcBorders>
              <w:bottom w:val="nil"/>
            </w:tcBorders>
          </w:tcPr>
          <w:p>
            <w:pPr>
              <w:spacing w:line="360" w:lineRule="auto"/>
              <w:ind w:left="-105" w:leftChars="-50" w:right="-105" w:rightChars="-50" w:firstLine="0" w:firstLineChars="0"/>
              <w:rPr>
                <w:sz w:val="24"/>
              </w:rPr>
            </w:pPr>
          </w:p>
        </w:tc>
        <w:tc>
          <w:tcPr>
            <w:tcW w:w="405" w:type="dxa"/>
            <w:gridSpan w:val="2"/>
            <w:tcBorders>
              <w:bottom w:val="nil"/>
            </w:tcBorders>
          </w:tcPr>
          <w:p>
            <w:pPr>
              <w:spacing w:line="360" w:lineRule="auto"/>
              <w:ind w:left="-105" w:leftChars="-50" w:right="-105" w:rightChars="-50" w:firstLine="0" w:firstLineChars="0"/>
              <w:rPr>
                <w:sz w:val="24"/>
              </w:rPr>
            </w:pPr>
          </w:p>
        </w:tc>
        <w:tc>
          <w:tcPr>
            <w:tcW w:w="406" w:type="dxa"/>
            <w:gridSpan w:val="2"/>
            <w:tcBorders>
              <w:bottom w:val="nil"/>
            </w:tcBorders>
          </w:tcPr>
          <w:p>
            <w:pPr>
              <w:spacing w:line="360" w:lineRule="auto"/>
              <w:ind w:left="-105" w:leftChars="-50" w:right="-105" w:rightChars="-50" w:firstLine="0" w:firstLineChars="0"/>
              <w:rPr>
                <w:sz w:val="24"/>
              </w:rPr>
            </w:pPr>
          </w:p>
        </w:tc>
        <w:tc>
          <w:tcPr>
            <w:tcW w:w="405" w:type="dxa"/>
            <w:gridSpan w:val="2"/>
            <w:tcBorders>
              <w:bottom w:val="nil"/>
            </w:tcBorders>
          </w:tcPr>
          <w:p>
            <w:pPr>
              <w:spacing w:line="360" w:lineRule="auto"/>
              <w:ind w:left="-105" w:leftChars="-50" w:right="-105" w:rightChars="-50" w:firstLine="0" w:firstLineChars="0"/>
              <w:rPr>
                <w:sz w:val="24"/>
              </w:rPr>
            </w:pPr>
          </w:p>
        </w:tc>
        <w:tc>
          <w:tcPr>
            <w:tcW w:w="405" w:type="dxa"/>
            <w:gridSpan w:val="2"/>
            <w:tcBorders>
              <w:bottom w:val="nil"/>
            </w:tcBorders>
          </w:tcPr>
          <w:p>
            <w:pPr>
              <w:spacing w:line="360" w:lineRule="auto"/>
              <w:ind w:left="-105" w:leftChars="-50" w:right="-105" w:rightChars="-50" w:firstLine="0" w:firstLineChars="0"/>
              <w:rPr>
                <w:sz w:val="24"/>
              </w:rPr>
            </w:pPr>
          </w:p>
        </w:tc>
        <w:tc>
          <w:tcPr>
            <w:tcW w:w="406" w:type="dxa"/>
            <w:gridSpan w:val="2"/>
            <w:tcBorders>
              <w:bottom w:val="nil"/>
            </w:tcBorders>
          </w:tcPr>
          <w:p>
            <w:pPr>
              <w:spacing w:line="360" w:lineRule="auto"/>
              <w:ind w:left="-105" w:leftChars="-50" w:right="-105" w:rightChars="-50" w:firstLine="0" w:firstLineChars="0"/>
              <w:rPr>
                <w:sz w:val="24"/>
              </w:rPr>
            </w:pPr>
          </w:p>
        </w:tc>
        <w:tc>
          <w:tcPr>
            <w:tcW w:w="405" w:type="dxa"/>
            <w:gridSpan w:val="2"/>
            <w:tcBorders>
              <w:bottom w:val="nil"/>
            </w:tcBorders>
          </w:tcPr>
          <w:p>
            <w:pPr>
              <w:spacing w:line="360" w:lineRule="auto"/>
              <w:ind w:left="-105" w:leftChars="-50" w:right="-105" w:rightChars="-50" w:firstLine="0" w:firstLineChars="0"/>
              <w:rPr>
                <w:sz w:val="24"/>
              </w:rPr>
            </w:pPr>
          </w:p>
        </w:tc>
        <w:tc>
          <w:tcPr>
            <w:tcW w:w="406" w:type="dxa"/>
            <w:gridSpan w:val="2"/>
            <w:tcBorders>
              <w:bottom w:val="nil"/>
            </w:tcBorders>
          </w:tcPr>
          <w:p>
            <w:pPr>
              <w:spacing w:line="360" w:lineRule="auto"/>
              <w:ind w:left="-105" w:leftChars="-50" w:right="-105" w:rightChars="-50" w:firstLine="0" w:firstLineChars="0"/>
              <w:rPr>
                <w:sz w:val="24"/>
              </w:rPr>
            </w:pPr>
          </w:p>
        </w:tc>
        <w:tc>
          <w:tcPr>
            <w:tcW w:w="406" w:type="dxa"/>
            <w:gridSpan w:val="2"/>
            <w:tcBorders>
              <w:bottom w:val="nil"/>
            </w:tcBorders>
          </w:tcPr>
          <w:p>
            <w:pPr>
              <w:spacing w:line="360" w:lineRule="auto"/>
              <w:ind w:left="-105" w:leftChars="-50" w:right="-105" w:rightChars="-50" w:firstLine="0" w:firstLineChars="0"/>
              <w:rPr>
                <w:sz w:val="24"/>
              </w:rPr>
            </w:pPr>
          </w:p>
        </w:tc>
        <w:tc>
          <w:tcPr>
            <w:tcW w:w="406" w:type="dxa"/>
            <w:gridSpan w:val="2"/>
            <w:tcBorders>
              <w:bottom w:val="nil"/>
            </w:tcBorders>
          </w:tcPr>
          <w:p>
            <w:pPr>
              <w:spacing w:line="360" w:lineRule="auto"/>
              <w:ind w:left="-105" w:leftChars="-50" w:right="-105" w:rightChars="-50" w:firstLine="0" w:firstLineChars="0"/>
              <w:rPr>
                <w:sz w:val="24"/>
              </w:rPr>
            </w:pPr>
          </w:p>
        </w:tc>
        <w:tc>
          <w:tcPr>
            <w:tcW w:w="406" w:type="dxa"/>
            <w:gridSpan w:val="2"/>
            <w:tcBorders>
              <w:bottom w:val="nil"/>
            </w:tcBorders>
          </w:tcPr>
          <w:p>
            <w:pPr>
              <w:spacing w:line="360" w:lineRule="auto"/>
              <w:ind w:left="-105" w:leftChars="-50" w:right="-105" w:rightChars="-50" w:firstLine="0" w:firstLineChars="0"/>
              <w:rPr>
                <w:sz w:val="24"/>
              </w:rPr>
            </w:pPr>
          </w:p>
        </w:tc>
        <w:tc>
          <w:tcPr>
            <w:tcW w:w="406" w:type="dxa"/>
            <w:gridSpan w:val="2"/>
            <w:tcBorders>
              <w:bottom w:val="nil"/>
            </w:tcBorders>
          </w:tcPr>
          <w:p>
            <w:pPr>
              <w:spacing w:line="360" w:lineRule="auto"/>
              <w:ind w:left="-105" w:leftChars="-50" w:right="-105" w:rightChars="-50" w:firstLine="0" w:firstLineChars="0"/>
              <w:rPr>
                <w:sz w:val="24"/>
              </w:rPr>
            </w:pPr>
          </w:p>
        </w:tc>
        <w:tc>
          <w:tcPr>
            <w:tcW w:w="406" w:type="dxa"/>
            <w:gridSpan w:val="2"/>
            <w:tcBorders>
              <w:bottom w:val="nil"/>
            </w:tcBorders>
          </w:tcPr>
          <w:p>
            <w:pPr>
              <w:spacing w:line="360" w:lineRule="auto"/>
              <w:ind w:left="-105" w:leftChars="-50" w:right="-105" w:rightChars="-50" w:firstLine="0" w:firstLineChars="0"/>
              <w:rPr>
                <w:sz w:val="24"/>
              </w:rPr>
            </w:pPr>
          </w:p>
        </w:tc>
        <w:tc>
          <w:tcPr>
            <w:tcW w:w="408" w:type="dxa"/>
            <w:gridSpan w:val="2"/>
            <w:tcBorders>
              <w:bottom w:val="single" w:color="auto" w:sz="4" w:space="0"/>
            </w:tcBorders>
            <w:shd w:val="clear" w:color="auto" w:fill="auto"/>
          </w:tcPr>
          <w:p>
            <w:pPr>
              <w:spacing w:line="360" w:lineRule="auto"/>
              <w:ind w:left="-105" w:leftChars="-50" w:right="-105" w:rightChars="-50" w:firstLine="0" w:firstLineChars="0"/>
              <w:rPr>
                <w:sz w:val="24"/>
              </w:rPr>
            </w:pPr>
          </w:p>
        </w:tc>
        <w:tc>
          <w:tcPr>
            <w:tcW w:w="408" w:type="dxa"/>
            <w:tcBorders>
              <w:bottom w:val="single" w:color="auto" w:sz="4" w:space="0"/>
            </w:tcBorders>
            <w:shd w:val="clear" w:color="auto" w:fill="auto"/>
          </w:tcPr>
          <w:p>
            <w:pPr>
              <w:spacing w:line="360" w:lineRule="auto"/>
              <w:ind w:left="-105" w:leftChars="-50" w:right="-105" w:rightChars="-5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Borders>
              <w:top w:val="single" w:color="auto" w:sz="4" w:space="0"/>
              <w:left w:val="nil"/>
              <w:bottom w:val="nil"/>
              <w:right w:val="nil"/>
            </w:tcBorders>
          </w:tcPr>
          <w:p>
            <w:pPr>
              <w:spacing w:line="360" w:lineRule="auto"/>
              <w:ind w:left="-105" w:leftChars="-50" w:right="-105" w:rightChars="-50" w:firstLine="0" w:firstLineChars="0"/>
              <w:rPr>
                <w:sz w:val="24"/>
              </w:rPr>
            </w:pPr>
          </w:p>
        </w:tc>
        <w:tc>
          <w:tcPr>
            <w:tcW w:w="413" w:type="dxa"/>
            <w:tcBorders>
              <w:top w:val="nil"/>
              <w:left w:val="nil"/>
              <w:bottom w:val="nil"/>
              <w:right w:val="nil"/>
            </w:tcBorders>
          </w:tcPr>
          <w:p>
            <w:pPr>
              <w:spacing w:line="360" w:lineRule="auto"/>
              <w:ind w:left="-105" w:leftChars="-50" w:right="-105" w:rightChars="-50" w:firstLine="0" w:firstLineChars="0"/>
              <w:jc w:val="right"/>
              <w:rPr>
                <w:sz w:val="24"/>
              </w:rPr>
            </w:pPr>
            <w:r>
              <w:rPr>
                <w:sz w:val="24"/>
              </w:rPr>
              <w:t>0</w:t>
            </w:r>
          </w:p>
        </w:tc>
        <w:tc>
          <w:tcPr>
            <w:tcW w:w="425"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jc w:val="right"/>
              <w:rPr>
                <w:sz w:val="24"/>
              </w:rPr>
            </w:pPr>
            <w:r>
              <w:rPr>
                <w:sz w:val="24"/>
              </w:rPr>
              <w:t>10</w:t>
            </w: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jc w:val="right"/>
              <w:rPr>
                <w:sz w:val="24"/>
              </w:rPr>
            </w:pPr>
            <w:r>
              <w:rPr>
                <w:sz w:val="24"/>
              </w:rPr>
              <w:t>20</w:t>
            </w: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jc w:val="right"/>
              <w:rPr>
                <w:sz w:val="24"/>
              </w:rPr>
            </w:pPr>
            <w:r>
              <w:rPr>
                <w:sz w:val="24"/>
              </w:rPr>
              <w:t>30</w:t>
            </w: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jc w:val="right"/>
              <w:rPr>
                <w:sz w:val="24"/>
              </w:rPr>
            </w:pPr>
            <w:r>
              <w:rPr>
                <w:sz w:val="24"/>
              </w:rPr>
              <w:t>40</w:t>
            </w: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p>
        </w:tc>
        <w:tc>
          <w:tcPr>
            <w:tcW w:w="426" w:type="dxa"/>
            <w:gridSpan w:val="2"/>
            <w:tcBorders>
              <w:top w:val="single" w:color="auto" w:sz="4" w:space="0"/>
              <w:left w:val="nil"/>
              <w:bottom w:val="nil"/>
              <w:right w:val="nil"/>
            </w:tcBorders>
          </w:tcPr>
          <w:p>
            <w:pPr>
              <w:spacing w:line="360" w:lineRule="auto"/>
              <w:ind w:left="-105" w:leftChars="-50" w:right="-105" w:rightChars="-50" w:firstLine="0" w:firstLineChars="0"/>
              <w:jc w:val="right"/>
              <w:rPr>
                <w:sz w:val="24"/>
              </w:rPr>
            </w:pPr>
            <w:r>
              <w:rPr>
                <w:sz w:val="24"/>
              </w:rPr>
              <w:t>50</w:t>
            </w: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r>
              <w:rPr>
                <w:sz w:val="24"/>
              </w:rPr>
              <w:t>60</w:t>
            </w: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r>
              <w:rPr>
                <w:sz w:val="24"/>
              </w:rPr>
              <w:t>70</w:t>
            </w: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r>
              <w:rPr>
                <w:sz w:val="24"/>
              </w:rPr>
              <w:t>80</w:t>
            </w: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p>
        </w:tc>
        <w:tc>
          <w:tcPr>
            <w:tcW w:w="427" w:type="dxa"/>
            <w:gridSpan w:val="2"/>
            <w:tcBorders>
              <w:top w:val="single" w:color="auto" w:sz="4" w:space="0"/>
              <w:left w:val="nil"/>
              <w:bottom w:val="nil"/>
              <w:right w:val="nil"/>
            </w:tcBorders>
          </w:tcPr>
          <w:p>
            <w:pPr>
              <w:spacing w:line="360" w:lineRule="auto"/>
              <w:ind w:left="-105" w:leftChars="-50" w:right="-105" w:rightChars="-50" w:firstLine="0" w:firstLineChars="0"/>
              <w:rPr>
                <w:sz w:val="24"/>
              </w:rPr>
            </w:pPr>
            <w:r>
              <w:rPr>
                <w:sz w:val="24"/>
              </w:rPr>
              <w:t>90</w:t>
            </w:r>
          </w:p>
        </w:tc>
        <w:tc>
          <w:tcPr>
            <w:tcW w:w="431" w:type="dxa"/>
            <w:gridSpan w:val="2"/>
            <w:tcBorders>
              <w:top w:val="single" w:color="auto" w:sz="4" w:space="0"/>
              <w:left w:val="nil"/>
              <w:bottom w:val="nil"/>
              <w:right w:val="nil"/>
            </w:tcBorders>
          </w:tcPr>
          <w:p>
            <w:pPr>
              <w:spacing w:line="360" w:lineRule="auto"/>
              <w:ind w:left="-105" w:leftChars="-50" w:right="-105" w:rightChars="-50" w:firstLine="0" w:firstLineChars="0"/>
              <w:jc w:val="right"/>
              <w:rPr>
                <w:sz w:val="24"/>
              </w:rPr>
            </w:pPr>
            <w:r>
              <w:rPr>
                <w:sz w:val="24"/>
              </w:rPr>
              <w:t>100</w:t>
            </w:r>
          </w:p>
        </w:tc>
      </w:tr>
    </w:tbl>
    <w:p>
      <w:pPr>
        <w:spacing w:line="440" w:lineRule="exact"/>
        <w:ind w:firstLine="0" w:firstLineChars="0"/>
        <w:jc w:val="center"/>
        <w:rPr>
          <w:rFonts w:eastAsia="黑体"/>
          <w:sz w:val="24"/>
          <w:szCs w:val="21"/>
        </w:rPr>
      </w:pPr>
      <w:r>
        <w:rPr>
          <w:sz w:val="24"/>
          <w:szCs w:val="21"/>
        </w:rPr>
        <w:t>工期历程的百分比（%）</w:t>
      </w:r>
    </w:p>
    <w:p>
      <w:pPr>
        <w:spacing w:line="440" w:lineRule="exact"/>
        <w:ind w:firstLine="0" w:firstLineChars="0"/>
        <w:rPr>
          <w:rFonts w:eastAsia="黑体"/>
          <w:sz w:val="24"/>
          <w:szCs w:val="21"/>
        </w:rPr>
        <w:sectPr>
          <w:footnotePr>
            <w:numFmt w:val="decimalEnclosedCircleChinese"/>
            <w:numRestart w:val="eachPage"/>
          </w:footnotePr>
          <w:type w:val="continuous"/>
          <w:pgSz w:w="11907" w:h="16840"/>
          <w:pgMar w:top="1588" w:right="1588" w:bottom="1474" w:left="1644" w:header="851" w:footer="851" w:gutter="0"/>
          <w:cols w:space="425" w:num="1"/>
          <w:docGrid w:linePitch="312" w:charSpace="0"/>
        </w:sectPr>
      </w:pPr>
    </w:p>
    <w:p>
      <w:pPr>
        <w:spacing w:line="360" w:lineRule="auto"/>
        <w:ind w:firstLine="0" w:firstLineChars="0"/>
        <w:rPr>
          <w:b/>
          <w:sz w:val="24"/>
        </w:rPr>
      </w:pPr>
      <w:r>
        <w:rPr>
          <w:b/>
          <w:sz w:val="24"/>
        </w:rPr>
        <w:t>附表四 分项工程生产率和施工周期表</w:t>
      </w:r>
      <w:bookmarkEnd w:id="786"/>
      <w:bookmarkEnd w:id="787"/>
    </w:p>
    <w:p>
      <w:pPr>
        <w:snapToGrid w:val="0"/>
        <w:spacing w:line="360" w:lineRule="auto"/>
        <w:ind w:firstLine="0" w:firstLineChars="0"/>
        <w:rPr>
          <w:sz w:val="24"/>
        </w:rPr>
      </w:pPr>
    </w:p>
    <w:tbl>
      <w:tblPr>
        <w:tblStyle w:val="5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4"/>
        <w:gridCol w:w="1994"/>
        <w:gridCol w:w="900"/>
        <w:gridCol w:w="900"/>
        <w:gridCol w:w="2700"/>
        <w:gridCol w:w="2160"/>
        <w:gridCol w:w="2146"/>
        <w:gridCol w:w="2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vAlign w:val="center"/>
          </w:tcPr>
          <w:p>
            <w:pPr>
              <w:snapToGrid w:val="0"/>
              <w:spacing w:line="360" w:lineRule="auto"/>
              <w:ind w:firstLine="0" w:firstLineChars="0"/>
              <w:jc w:val="center"/>
              <w:rPr>
                <w:sz w:val="24"/>
              </w:rPr>
            </w:pPr>
            <w:r>
              <w:rPr>
                <w:sz w:val="24"/>
              </w:rPr>
              <w:t>序号</w:t>
            </w:r>
          </w:p>
        </w:tc>
        <w:tc>
          <w:tcPr>
            <w:tcW w:w="1994" w:type="dxa"/>
            <w:vAlign w:val="center"/>
          </w:tcPr>
          <w:p>
            <w:pPr>
              <w:adjustRightInd w:val="0"/>
              <w:snapToGrid w:val="0"/>
              <w:spacing w:line="360" w:lineRule="auto"/>
              <w:ind w:firstLine="0" w:firstLineChars="0"/>
              <w:jc w:val="center"/>
              <w:textAlignment w:val="baseline"/>
              <w:rPr>
                <w:kern w:val="0"/>
                <w:sz w:val="24"/>
              </w:rPr>
            </w:pPr>
            <w:r>
              <w:rPr>
                <w:kern w:val="0"/>
                <w:sz w:val="24"/>
              </w:rPr>
              <w:t>工程项目</w:t>
            </w:r>
          </w:p>
        </w:tc>
        <w:tc>
          <w:tcPr>
            <w:tcW w:w="900" w:type="dxa"/>
            <w:vAlign w:val="center"/>
          </w:tcPr>
          <w:p>
            <w:pPr>
              <w:snapToGrid w:val="0"/>
              <w:spacing w:line="360" w:lineRule="auto"/>
              <w:ind w:firstLine="0" w:firstLineChars="0"/>
              <w:jc w:val="center"/>
              <w:rPr>
                <w:sz w:val="24"/>
              </w:rPr>
            </w:pPr>
            <w:r>
              <w:rPr>
                <w:sz w:val="24"/>
              </w:rPr>
              <w:t>单位</w:t>
            </w:r>
          </w:p>
        </w:tc>
        <w:tc>
          <w:tcPr>
            <w:tcW w:w="900" w:type="dxa"/>
            <w:vAlign w:val="center"/>
          </w:tcPr>
          <w:p>
            <w:pPr>
              <w:snapToGrid w:val="0"/>
              <w:spacing w:line="360" w:lineRule="auto"/>
              <w:ind w:firstLine="0" w:firstLineChars="0"/>
              <w:jc w:val="center"/>
              <w:rPr>
                <w:sz w:val="24"/>
              </w:rPr>
            </w:pPr>
            <w:r>
              <w:rPr>
                <w:sz w:val="24"/>
              </w:rPr>
              <w:t>数量</w:t>
            </w:r>
          </w:p>
        </w:tc>
        <w:tc>
          <w:tcPr>
            <w:tcW w:w="2700" w:type="dxa"/>
            <w:vAlign w:val="center"/>
          </w:tcPr>
          <w:p>
            <w:pPr>
              <w:snapToGrid w:val="0"/>
              <w:spacing w:line="360" w:lineRule="auto"/>
              <w:ind w:firstLine="0" w:firstLineChars="0"/>
              <w:jc w:val="center"/>
              <w:rPr>
                <w:sz w:val="24"/>
              </w:rPr>
            </w:pPr>
            <w:r>
              <w:rPr>
                <w:sz w:val="24"/>
              </w:rPr>
              <w:t>平均每生产单位规模（</w:t>
            </w:r>
            <w:r>
              <w:rPr>
                <w:sz w:val="24"/>
                <w:u w:val="single"/>
              </w:rPr>
              <w:t xml:space="preserve">  </w:t>
            </w:r>
            <w:r>
              <w:rPr>
                <w:sz w:val="24"/>
              </w:rPr>
              <w:t>人，各种机械</w:t>
            </w:r>
            <w:r>
              <w:rPr>
                <w:sz w:val="24"/>
                <w:u w:val="single"/>
              </w:rPr>
              <w:t xml:space="preserve">  </w:t>
            </w:r>
            <w:r>
              <w:rPr>
                <w:sz w:val="24"/>
              </w:rPr>
              <w:t>台）</w:t>
            </w:r>
          </w:p>
        </w:tc>
        <w:tc>
          <w:tcPr>
            <w:tcW w:w="2160" w:type="dxa"/>
            <w:vAlign w:val="center"/>
          </w:tcPr>
          <w:p>
            <w:pPr>
              <w:snapToGrid w:val="0"/>
              <w:spacing w:line="360" w:lineRule="auto"/>
              <w:ind w:firstLine="0" w:firstLineChars="0"/>
              <w:jc w:val="center"/>
              <w:rPr>
                <w:sz w:val="24"/>
              </w:rPr>
            </w:pPr>
            <w:r>
              <w:rPr>
                <w:sz w:val="24"/>
              </w:rPr>
              <w:t>平均每单位生产率</w:t>
            </w:r>
          </w:p>
          <w:p>
            <w:pPr>
              <w:snapToGrid w:val="0"/>
              <w:spacing w:line="360" w:lineRule="auto"/>
              <w:ind w:firstLine="0" w:firstLineChars="0"/>
              <w:jc w:val="center"/>
              <w:rPr>
                <w:sz w:val="24"/>
              </w:rPr>
            </w:pPr>
            <w:r>
              <w:rPr>
                <w:sz w:val="24"/>
              </w:rPr>
              <w:t>（数量、每周）</w:t>
            </w:r>
          </w:p>
        </w:tc>
        <w:tc>
          <w:tcPr>
            <w:tcW w:w="2146" w:type="dxa"/>
            <w:vAlign w:val="center"/>
          </w:tcPr>
          <w:p>
            <w:pPr>
              <w:snapToGrid w:val="0"/>
              <w:spacing w:line="360" w:lineRule="auto"/>
              <w:ind w:firstLine="0" w:firstLineChars="0"/>
              <w:jc w:val="center"/>
              <w:rPr>
                <w:sz w:val="24"/>
              </w:rPr>
            </w:pPr>
            <w:r>
              <w:rPr>
                <w:sz w:val="24"/>
              </w:rPr>
              <w:t>每生产单位</w:t>
            </w:r>
          </w:p>
          <w:p>
            <w:pPr>
              <w:snapToGrid w:val="0"/>
              <w:spacing w:line="360" w:lineRule="auto"/>
              <w:ind w:firstLine="0" w:firstLineChars="0"/>
              <w:jc w:val="center"/>
              <w:rPr>
                <w:sz w:val="24"/>
              </w:rPr>
            </w:pPr>
            <w:r>
              <w:rPr>
                <w:sz w:val="24"/>
              </w:rPr>
              <w:t>平均施工时间 （周）</w:t>
            </w:r>
          </w:p>
        </w:tc>
        <w:tc>
          <w:tcPr>
            <w:tcW w:w="2477" w:type="dxa"/>
            <w:vAlign w:val="center"/>
          </w:tcPr>
          <w:p>
            <w:pPr>
              <w:snapToGrid w:val="0"/>
              <w:spacing w:line="360" w:lineRule="auto"/>
              <w:ind w:firstLine="0" w:firstLineChars="0"/>
              <w:jc w:val="center"/>
              <w:rPr>
                <w:sz w:val="24"/>
              </w:rPr>
            </w:pPr>
            <w:r>
              <w:rPr>
                <w:sz w:val="24"/>
              </w:rPr>
              <w:t>生产单位总数</w:t>
            </w:r>
          </w:p>
          <w:p>
            <w:pPr>
              <w:snapToGrid w:val="0"/>
              <w:spacing w:line="360" w:lineRule="auto"/>
              <w:ind w:firstLine="0" w:firstLineChars="0"/>
              <w:jc w:val="center"/>
              <w:rPr>
                <w:sz w:val="24"/>
              </w:rPr>
            </w:pPr>
            <w:r>
              <w:rPr>
                <w:sz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vAlign w:val="center"/>
          </w:tcPr>
          <w:p>
            <w:pPr>
              <w:snapToGrid w:val="0"/>
              <w:spacing w:line="360" w:lineRule="auto"/>
              <w:ind w:firstLine="0" w:firstLineChars="0"/>
              <w:jc w:val="center"/>
              <w:rPr>
                <w:sz w:val="24"/>
              </w:rPr>
            </w:pPr>
            <w:r>
              <w:rPr>
                <w:sz w:val="24"/>
              </w:rPr>
              <w:t>1</w:t>
            </w:r>
          </w:p>
        </w:tc>
        <w:tc>
          <w:tcPr>
            <w:tcW w:w="1994" w:type="dxa"/>
            <w:vAlign w:val="center"/>
          </w:tcPr>
          <w:p>
            <w:pPr>
              <w:snapToGrid w:val="0"/>
              <w:spacing w:line="360" w:lineRule="auto"/>
              <w:ind w:firstLine="0" w:firstLineChars="0"/>
              <w:jc w:val="left"/>
              <w:rPr>
                <w:sz w:val="24"/>
              </w:rPr>
            </w:pPr>
            <w:r>
              <w:rPr>
                <w:sz w:val="24"/>
              </w:rPr>
              <w:t>特殊路基处理</w:t>
            </w:r>
          </w:p>
        </w:tc>
        <w:tc>
          <w:tcPr>
            <w:tcW w:w="900" w:type="dxa"/>
            <w:vAlign w:val="center"/>
          </w:tcPr>
          <w:p>
            <w:pPr>
              <w:snapToGrid w:val="0"/>
              <w:spacing w:line="360" w:lineRule="auto"/>
              <w:ind w:firstLine="0" w:firstLineChars="0"/>
              <w:jc w:val="center"/>
              <w:rPr>
                <w:sz w:val="24"/>
              </w:rPr>
            </w:pPr>
            <w:r>
              <w:rPr>
                <w:sz w:val="24"/>
              </w:rPr>
              <w:t>km</w:t>
            </w:r>
          </w:p>
        </w:tc>
        <w:tc>
          <w:tcPr>
            <w:tcW w:w="900" w:type="dxa"/>
            <w:vAlign w:val="center"/>
          </w:tcPr>
          <w:p>
            <w:pPr>
              <w:snapToGrid w:val="0"/>
              <w:spacing w:line="360" w:lineRule="auto"/>
              <w:ind w:firstLine="0" w:firstLineChars="0"/>
              <w:jc w:val="center"/>
              <w:rPr>
                <w:sz w:val="24"/>
              </w:rPr>
            </w:pPr>
          </w:p>
        </w:tc>
        <w:tc>
          <w:tcPr>
            <w:tcW w:w="2700" w:type="dxa"/>
            <w:vAlign w:val="center"/>
          </w:tcPr>
          <w:p>
            <w:pPr>
              <w:snapToGrid w:val="0"/>
              <w:spacing w:line="360" w:lineRule="auto"/>
              <w:ind w:firstLine="0" w:firstLineChars="0"/>
              <w:jc w:val="center"/>
              <w:rPr>
                <w:sz w:val="24"/>
              </w:rPr>
            </w:pPr>
          </w:p>
        </w:tc>
        <w:tc>
          <w:tcPr>
            <w:tcW w:w="2160" w:type="dxa"/>
            <w:vAlign w:val="center"/>
          </w:tcPr>
          <w:p>
            <w:pPr>
              <w:snapToGrid w:val="0"/>
              <w:spacing w:line="360" w:lineRule="auto"/>
              <w:ind w:firstLine="0" w:firstLineChars="0"/>
              <w:jc w:val="center"/>
              <w:rPr>
                <w:sz w:val="24"/>
              </w:rPr>
            </w:pPr>
          </w:p>
        </w:tc>
        <w:tc>
          <w:tcPr>
            <w:tcW w:w="2146" w:type="dxa"/>
            <w:vAlign w:val="center"/>
          </w:tcPr>
          <w:p>
            <w:pPr>
              <w:snapToGrid w:val="0"/>
              <w:spacing w:line="360" w:lineRule="auto"/>
              <w:ind w:firstLine="0" w:firstLineChars="0"/>
              <w:jc w:val="center"/>
              <w:rPr>
                <w:sz w:val="24"/>
              </w:rPr>
            </w:pPr>
          </w:p>
        </w:tc>
        <w:tc>
          <w:tcPr>
            <w:tcW w:w="2477" w:type="dxa"/>
            <w:vAlign w:val="center"/>
          </w:tcPr>
          <w:p>
            <w:pPr>
              <w:snapToGrid w:val="0"/>
              <w:spacing w:line="36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0" w:hRule="atLeast"/>
          <w:jc w:val="center"/>
        </w:trPr>
        <w:tc>
          <w:tcPr>
            <w:tcW w:w="814" w:type="dxa"/>
            <w:vAlign w:val="center"/>
          </w:tcPr>
          <w:p>
            <w:pPr>
              <w:snapToGrid w:val="0"/>
              <w:spacing w:line="360" w:lineRule="auto"/>
              <w:ind w:firstLine="0" w:firstLineChars="0"/>
              <w:jc w:val="center"/>
              <w:rPr>
                <w:sz w:val="24"/>
              </w:rPr>
            </w:pPr>
            <w:r>
              <w:rPr>
                <w:sz w:val="24"/>
              </w:rPr>
              <w:t>2</w:t>
            </w:r>
          </w:p>
        </w:tc>
        <w:tc>
          <w:tcPr>
            <w:tcW w:w="1994" w:type="dxa"/>
            <w:vAlign w:val="center"/>
          </w:tcPr>
          <w:p>
            <w:pPr>
              <w:snapToGrid w:val="0"/>
              <w:spacing w:line="360" w:lineRule="auto"/>
              <w:ind w:firstLine="0" w:firstLineChars="0"/>
              <w:rPr>
                <w:sz w:val="24"/>
              </w:rPr>
            </w:pPr>
            <w:r>
              <w:rPr>
                <w:sz w:val="24"/>
              </w:rPr>
              <w:t>路基填筑</w:t>
            </w:r>
          </w:p>
        </w:tc>
        <w:tc>
          <w:tcPr>
            <w:tcW w:w="900" w:type="dxa"/>
            <w:vAlign w:val="center"/>
          </w:tcPr>
          <w:p>
            <w:pPr>
              <w:snapToGrid w:val="0"/>
              <w:spacing w:line="360" w:lineRule="auto"/>
              <w:ind w:firstLine="0" w:firstLineChars="0"/>
              <w:jc w:val="center"/>
              <w:rPr>
                <w:sz w:val="24"/>
              </w:rPr>
            </w:pPr>
            <w:r>
              <w:rPr>
                <w:sz w:val="24"/>
              </w:rPr>
              <w:t>万m</w:t>
            </w:r>
            <w:r>
              <w:rPr>
                <w:sz w:val="24"/>
                <w:vertAlign w:val="superscript"/>
              </w:rPr>
              <w:t>3</w:t>
            </w:r>
          </w:p>
        </w:tc>
        <w:tc>
          <w:tcPr>
            <w:tcW w:w="900" w:type="dxa"/>
            <w:vAlign w:val="center"/>
          </w:tcPr>
          <w:p>
            <w:pPr>
              <w:snapToGrid w:val="0"/>
              <w:spacing w:line="360" w:lineRule="auto"/>
              <w:ind w:firstLine="0" w:firstLineChars="0"/>
              <w:jc w:val="center"/>
              <w:rPr>
                <w:sz w:val="24"/>
              </w:rPr>
            </w:pPr>
          </w:p>
        </w:tc>
        <w:tc>
          <w:tcPr>
            <w:tcW w:w="2700" w:type="dxa"/>
            <w:vAlign w:val="center"/>
          </w:tcPr>
          <w:p>
            <w:pPr>
              <w:snapToGrid w:val="0"/>
              <w:spacing w:line="360" w:lineRule="auto"/>
              <w:ind w:firstLine="0" w:firstLineChars="0"/>
              <w:jc w:val="center"/>
              <w:rPr>
                <w:sz w:val="24"/>
              </w:rPr>
            </w:pPr>
          </w:p>
        </w:tc>
        <w:tc>
          <w:tcPr>
            <w:tcW w:w="2160" w:type="dxa"/>
            <w:vAlign w:val="center"/>
          </w:tcPr>
          <w:p>
            <w:pPr>
              <w:snapToGrid w:val="0"/>
              <w:spacing w:line="360" w:lineRule="auto"/>
              <w:ind w:firstLine="0" w:firstLineChars="0"/>
              <w:jc w:val="center"/>
              <w:rPr>
                <w:sz w:val="24"/>
              </w:rPr>
            </w:pPr>
          </w:p>
        </w:tc>
        <w:tc>
          <w:tcPr>
            <w:tcW w:w="2146" w:type="dxa"/>
            <w:vAlign w:val="center"/>
          </w:tcPr>
          <w:p>
            <w:pPr>
              <w:snapToGrid w:val="0"/>
              <w:spacing w:line="360" w:lineRule="auto"/>
              <w:ind w:firstLine="0" w:firstLineChars="0"/>
              <w:jc w:val="center"/>
              <w:rPr>
                <w:sz w:val="24"/>
              </w:rPr>
            </w:pPr>
          </w:p>
        </w:tc>
        <w:tc>
          <w:tcPr>
            <w:tcW w:w="2477" w:type="dxa"/>
            <w:vAlign w:val="center"/>
          </w:tcPr>
          <w:p>
            <w:pPr>
              <w:snapToGrid w:val="0"/>
              <w:spacing w:line="36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vAlign w:val="center"/>
          </w:tcPr>
          <w:p>
            <w:pPr>
              <w:snapToGrid w:val="0"/>
              <w:spacing w:line="360" w:lineRule="auto"/>
              <w:ind w:firstLine="0" w:firstLineChars="0"/>
              <w:jc w:val="center"/>
              <w:rPr>
                <w:sz w:val="24"/>
              </w:rPr>
            </w:pPr>
            <w:r>
              <w:rPr>
                <w:sz w:val="24"/>
              </w:rPr>
              <w:t>3</w:t>
            </w:r>
          </w:p>
        </w:tc>
        <w:tc>
          <w:tcPr>
            <w:tcW w:w="1994" w:type="dxa"/>
            <w:vAlign w:val="center"/>
          </w:tcPr>
          <w:p>
            <w:pPr>
              <w:snapToGrid w:val="0"/>
              <w:spacing w:line="360" w:lineRule="auto"/>
              <w:ind w:firstLine="0" w:firstLineChars="0"/>
              <w:rPr>
                <w:sz w:val="24"/>
              </w:rPr>
            </w:pPr>
            <w:r>
              <w:rPr>
                <w:sz w:val="24"/>
              </w:rPr>
              <w:t>路面基层</w:t>
            </w:r>
          </w:p>
        </w:tc>
        <w:tc>
          <w:tcPr>
            <w:tcW w:w="900" w:type="dxa"/>
            <w:vAlign w:val="center"/>
          </w:tcPr>
          <w:p>
            <w:pPr>
              <w:snapToGrid w:val="0"/>
              <w:spacing w:line="360" w:lineRule="auto"/>
              <w:ind w:firstLine="0" w:firstLineChars="0"/>
              <w:jc w:val="center"/>
              <w:rPr>
                <w:sz w:val="24"/>
              </w:rPr>
            </w:pPr>
            <w:r>
              <w:rPr>
                <w:sz w:val="24"/>
              </w:rPr>
              <w:t>万m</w:t>
            </w:r>
            <w:r>
              <w:rPr>
                <w:sz w:val="24"/>
                <w:vertAlign w:val="superscript"/>
              </w:rPr>
              <w:t>2</w:t>
            </w:r>
          </w:p>
        </w:tc>
        <w:tc>
          <w:tcPr>
            <w:tcW w:w="900" w:type="dxa"/>
            <w:vAlign w:val="center"/>
          </w:tcPr>
          <w:p>
            <w:pPr>
              <w:snapToGrid w:val="0"/>
              <w:spacing w:line="360" w:lineRule="auto"/>
              <w:ind w:firstLine="0" w:firstLineChars="0"/>
              <w:jc w:val="center"/>
              <w:rPr>
                <w:sz w:val="24"/>
              </w:rPr>
            </w:pPr>
          </w:p>
        </w:tc>
        <w:tc>
          <w:tcPr>
            <w:tcW w:w="2700" w:type="dxa"/>
            <w:vAlign w:val="center"/>
          </w:tcPr>
          <w:p>
            <w:pPr>
              <w:snapToGrid w:val="0"/>
              <w:spacing w:line="360" w:lineRule="auto"/>
              <w:ind w:firstLine="0" w:firstLineChars="0"/>
              <w:jc w:val="center"/>
              <w:rPr>
                <w:sz w:val="24"/>
              </w:rPr>
            </w:pPr>
          </w:p>
        </w:tc>
        <w:tc>
          <w:tcPr>
            <w:tcW w:w="2160" w:type="dxa"/>
            <w:vAlign w:val="center"/>
          </w:tcPr>
          <w:p>
            <w:pPr>
              <w:snapToGrid w:val="0"/>
              <w:spacing w:line="360" w:lineRule="auto"/>
              <w:ind w:firstLine="0" w:firstLineChars="0"/>
              <w:jc w:val="center"/>
              <w:rPr>
                <w:sz w:val="24"/>
              </w:rPr>
            </w:pPr>
          </w:p>
        </w:tc>
        <w:tc>
          <w:tcPr>
            <w:tcW w:w="2146" w:type="dxa"/>
            <w:vAlign w:val="center"/>
          </w:tcPr>
          <w:p>
            <w:pPr>
              <w:snapToGrid w:val="0"/>
              <w:spacing w:line="360" w:lineRule="auto"/>
              <w:ind w:firstLine="0" w:firstLineChars="0"/>
              <w:jc w:val="center"/>
              <w:rPr>
                <w:sz w:val="24"/>
              </w:rPr>
            </w:pPr>
          </w:p>
        </w:tc>
        <w:tc>
          <w:tcPr>
            <w:tcW w:w="2477" w:type="dxa"/>
            <w:vAlign w:val="center"/>
          </w:tcPr>
          <w:p>
            <w:pPr>
              <w:snapToGrid w:val="0"/>
              <w:spacing w:line="36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0" w:hRule="atLeast"/>
          <w:jc w:val="center"/>
        </w:trPr>
        <w:tc>
          <w:tcPr>
            <w:tcW w:w="814" w:type="dxa"/>
            <w:vAlign w:val="center"/>
          </w:tcPr>
          <w:p>
            <w:pPr>
              <w:snapToGrid w:val="0"/>
              <w:spacing w:line="360" w:lineRule="auto"/>
              <w:ind w:firstLine="0" w:firstLineChars="0"/>
              <w:jc w:val="center"/>
              <w:rPr>
                <w:sz w:val="24"/>
              </w:rPr>
            </w:pPr>
            <w:r>
              <w:rPr>
                <w:sz w:val="24"/>
              </w:rPr>
              <w:t>4</w:t>
            </w:r>
          </w:p>
        </w:tc>
        <w:tc>
          <w:tcPr>
            <w:tcW w:w="1994" w:type="dxa"/>
            <w:vAlign w:val="center"/>
          </w:tcPr>
          <w:p>
            <w:pPr>
              <w:snapToGrid w:val="0"/>
              <w:spacing w:line="360" w:lineRule="auto"/>
              <w:ind w:firstLine="0" w:firstLineChars="0"/>
              <w:rPr>
                <w:sz w:val="24"/>
              </w:rPr>
            </w:pPr>
            <w:r>
              <w:rPr>
                <w:sz w:val="24"/>
              </w:rPr>
              <w:t>路面面层</w:t>
            </w:r>
          </w:p>
        </w:tc>
        <w:tc>
          <w:tcPr>
            <w:tcW w:w="900" w:type="dxa"/>
            <w:vAlign w:val="center"/>
          </w:tcPr>
          <w:p>
            <w:pPr>
              <w:snapToGrid w:val="0"/>
              <w:spacing w:line="360" w:lineRule="auto"/>
              <w:ind w:firstLine="0" w:firstLineChars="0"/>
              <w:jc w:val="center"/>
              <w:rPr>
                <w:sz w:val="24"/>
              </w:rPr>
            </w:pPr>
            <w:r>
              <w:rPr>
                <w:sz w:val="24"/>
              </w:rPr>
              <w:t>万m</w:t>
            </w:r>
            <w:r>
              <w:rPr>
                <w:sz w:val="24"/>
                <w:vertAlign w:val="superscript"/>
              </w:rPr>
              <w:t>2</w:t>
            </w:r>
          </w:p>
        </w:tc>
        <w:tc>
          <w:tcPr>
            <w:tcW w:w="900" w:type="dxa"/>
            <w:vAlign w:val="center"/>
          </w:tcPr>
          <w:p>
            <w:pPr>
              <w:snapToGrid w:val="0"/>
              <w:spacing w:line="360" w:lineRule="auto"/>
              <w:ind w:firstLine="0" w:firstLineChars="0"/>
              <w:jc w:val="center"/>
              <w:rPr>
                <w:sz w:val="24"/>
              </w:rPr>
            </w:pPr>
          </w:p>
        </w:tc>
        <w:tc>
          <w:tcPr>
            <w:tcW w:w="2700" w:type="dxa"/>
            <w:vAlign w:val="center"/>
          </w:tcPr>
          <w:p>
            <w:pPr>
              <w:snapToGrid w:val="0"/>
              <w:spacing w:line="360" w:lineRule="auto"/>
              <w:ind w:firstLine="0" w:firstLineChars="0"/>
              <w:jc w:val="center"/>
              <w:rPr>
                <w:sz w:val="24"/>
              </w:rPr>
            </w:pPr>
          </w:p>
        </w:tc>
        <w:tc>
          <w:tcPr>
            <w:tcW w:w="2160" w:type="dxa"/>
            <w:vAlign w:val="center"/>
          </w:tcPr>
          <w:p>
            <w:pPr>
              <w:snapToGrid w:val="0"/>
              <w:spacing w:line="360" w:lineRule="auto"/>
              <w:ind w:firstLine="0" w:firstLineChars="0"/>
              <w:jc w:val="center"/>
              <w:rPr>
                <w:sz w:val="24"/>
              </w:rPr>
            </w:pPr>
          </w:p>
        </w:tc>
        <w:tc>
          <w:tcPr>
            <w:tcW w:w="2146" w:type="dxa"/>
            <w:vAlign w:val="center"/>
          </w:tcPr>
          <w:p>
            <w:pPr>
              <w:snapToGrid w:val="0"/>
              <w:spacing w:line="360" w:lineRule="auto"/>
              <w:ind w:firstLine="0" w:firstLineChars="0"/>
              <w:jc w:val="center"/>
              <w:rPr>
                <w:sz w:val="24"/>
              </w:rPr>
            </w:pPr>
          </w:p>
        </w:tc>
        <w:tc>
          <w:tcPr>
            <w:tcW w:w="2477" w:type="dxa"/>
            <w:vAlign w:val="center"/>
          </w:tcPr>
          <w:p>
            <w:pPr>
              <w:snapToGrid w:val="0"/>
              <w:spacing w:line="36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vAlign w:val="center"/>
          </w:tcPr>
          <w:p>
            <w:pPr>
              <w:snapToGrid w:val="0"/>
              <w:spacing w:line="360" w:lineRule="auto"/>
              <w:ind w:firstLine="0" w:firstLineChars="0"/>
              <w:jc w:val="center"/>
              <w:rPr>
                <w:sz w:val="24"/>
              </w:rPr>
            </w:pPr>
            <w:r>
              <w:rPr>
                <w:sz w:val="24"/>
              </w:rPr>
              <w:t>5</w:t>
            </w:r>
          </w:p>
        </w:tc>
        <w:tc>
          <w:tcPr>
            <w:tcW w:w="1994" w:type="dxa"/>
            <w:vAlign w:val="center"/>
          </w:tcPr>
          <w:p>
            <w:pPr>
              <w:snapToGrid w:val="0"/>
              <w:spacing w:line="360" w:lineRule="auto"/>
              <w:ind w:firstLine="0" w:firstLineChars="0"/>
              <w:rPr>
                <w:sz w:val="24"/>
              </w:rPr>
            </w:pPr>
            <w:r>
              <w:rPr>
                <w:sz w:val="24"/>
              </w:rPr>
              <w:t>路基防护及排水</w:t>
            </w:r>
          </w:p>
        </w:tc>
        <w:tc>
          <w:tcPr>
            <w:tcW w:w="900" w:type="dxa"/>
            <w:vAlign w:val="center"/>
          </w:tcPr>
          <w:p>
            <w:pPr>
              <w:snapToGrid w:val="0"/>
              <w:spacing w:line="360" w:lineRule="auto"/>
              <w:ind w:firstLine="0" w:firstLineChars="0"/>
              <w:jc w:val="center"/>
              <w:rPr>
                <w:sz w:val="24"/>
              </w:rPr>
            </w:pPr>
            <w:r>
              <w:rPr>
                <w:sz w:val="24"/>
              </w:rPr>
              <w:t>km</w:t>
            </w:r>
          </w:p>
        </w:tc>
        <w:tc>
          <w:tcPr>
            <w:tcW w:w="900" w:type="dxa"/>
            <w:vAlign w:val="center"/>
          </w:tcPr>
          <w:p>
            <w:pPr>
              <w:snapToGrid w:val="0"/>
              <w:spacing w:line="360" w:lineRule="auto"/>
              <w:ind w:firstLine="0" w:firstLineChars="0"/>
              <w:jc w:val="center"/>
              <w:rPr>
                <w:sz w:val="24"/>
              </w:rPr>
            </w:pPr>
          </w:p>
        </w:tc>
        <w:tc>
          <w:tcPr>
            <w:tcW w:w="2700" w:type="dxa"/>
            <w:vAlign w:val="center"/>
          </w:tcPr>
          <w:p>
            <w:pPr>
              <w:snapToGrid w:val="0"/>
              <w:spacing w:line="360" w:lineRule="auto"/>
              <w:ind w:firstLine="0" w:firstLineChars="0"/>
              <w:jc w:val="center"/>
              <w:rPr>
                <w:sz w:val="24"/>
              </w:rPr>
            </w:pPr>
          </w:p>
        </w:tc>
        <w:tc>
          <w:tcPr>
            <w:tcW w:w="2160" w:type="dxa"/>
            <w:vAlign w:val="center"/>
          </w:tcPr>
          <w:p>
            <w:pPr>
              <w:snapToGrid w:val="0"/>
              <w:spacing w:line="360" w:lineRule="auto"/>
              <w:ind w:firstLine="0" w:firstLineChars="0"/>
              <w:jc w:val="center"/>
              <w:rPr>
                <w:sz w:val="24"/>
              </w:rPr>
            </w:pPr>
          </w:p>
        </w:tc>
        <w:tc>
          <w:tcPr>
            <w:tcW w:w="2146" w:type="dxa"/>
            <w:vAlign w:val="center"/>
          </w:tcPr>
          <w:p>
            <w:pPr>
              <w:snapToGrid w:val="0"/>
              <w:spacing w:line="360" w:lineRule="auto"/>
              <w:ind w:firstLine="0" w:firstLineChars="0"/>
              <w:jc w:val="center"/>
              <w:rPr>
                <w:sz w:val="24"/>
              </w:rPr>
            </w:pPr>
          </w:p>
        </w:tc>
        <w:tc>
          <w:tcPr>
            <w:tcW w:w="2477" w:type="dxa"/>
            <w:vAlign w:val="center"/>
          </w:tcPr>
          <w:p>
            <w:pPr>
              <w:snapToGrid w:val="0"/>
              <w:spacing w:line="36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0" w:hRule="atLeast"/>
          <w:jc w:val="center"/>
        </w:trPr>
        <w:tc>
          <w:tcPr>
            <w:tcW w:w="814" w:type="dxa"/>
            <w:vAlign w:val="center"/>
          </w:tcPr>
          <w:p>
            <w:pPr>
              <w:snapToGrid w:val="0"/>
              <w:spacing w:line="360" w:lineRule="auto"/>
              <w:ind w:firstLine="0" w:firstLineChars="0"/>
              <w:jc w:val="center"/>
              <w:rPr>
                <w:sz w:val="24"/>
              </w:rPr>
            </w:pPr>
            <w:r>
              <w:rPr>
                <w:sz w:val="24"/>
              </w:rPr>
              <w:t>6</w:t>
            </w:r>
          </w:p>
        </w:tc>
        <w:tc>
          <w:tcPr>
            <w:tcW w:w="1994" w:type="dxa"/>
            <w:vAlign w:val="center"/>
          </w:tcPr>
          <w:p>
            <w:pPr>
              <w:snapToGrid w:val="0"/>
              <w:spacing w:line="360" w:lineRule="auto"/>
              <w:ind w:firstLine="0" w:firstLineChars="0"/>
              <w:rPr>
                <w:sz w:val="24"/>
              </w:rPr>
            </w:pPr>
            <w:r>
              <w:rPr>
                <w:sz w:val="24"/>
              </w:rPr>
              <w:t>涵洞</w:t>
            </w:r>
          </w:p>
        </w:tc>
        <w:tc>
          <w:tcPr>
            <w:tcW w:w="900" w:type="dxa"/>
            <w:vAlign w:val="center"/>
          </w:tcPr>
          <w:p>
            <w:pPr>
              <w:snapToGrid w:val="0"/>
              <w:spacing w:line="360" w:lineRule="auto"/>
              <w:ind w:firstLine="0" w:firstLineChars="0"/>
              <w:jc w:val="center"/>
              <w:rPr>
                <w:sz w:val="24"/>
              </w:rPr>
            </w:pPr>
            <w:r>
              <w:rPr>
                <w:sz w:val="24"/>
              </w:rPr>
              <w:t>道</w:t>
            </w:r>
          </w:p>
        </w:tc>
        <w:tc>
          <w:tcPr>
            <w:tcW w:w="900" w:type="dxa"/>
            <w:vAlign w:val="center"/>
          </w:tcPr>
          <w:p>
            <w:pPr>
              <w:snapToGrid w:val="0"/>
              <w:spacing w:line="360" w:lineRule="auto"/>
              <w:ind w:firstLine="0" w:firstLineChars="0"/>
              <w:jc w:val="center"/>
              <w:rPr>
                <w:sz w:val="24"/>
              </w:rPr>
            </w:pPr>
          </w:p>
        </w:tc>
        <w:tc>
          <w:tcPr>
            <w:tcW w:w="2700" w:type="dxa"/>
            <w:vAlign w:val="center"/>
          </w:tcPr>
          <w:p>
            <w:pPr>
              <w:snapToGrid w:val="0"/>
              <w:spacing w:line="360" w:lineRule="auto"/>
              <w:ind w:firstLine="0" w:firstLineChars="0"/>
              <w:jc w:val="center"/>
              <w:rPr>
                <w:sz w:val="24"/>
              </w:rPr>
            </w:pPr>
          </w:p>
        </w:tc>
        <w:tc>
          <w:tcPr>
            <w:tcW w:w="2160" w:type="dxa"/>
            <w:vAlign w:val="center"/>
          </w:tcPr>
          <w:p>
            <w:pPr>
              <w:snapToGrid w:val="0"/>
              <w:spacing w:line="360" w:lineRule="auto"/>
              <w:ind w:firstLine="0" w:firstLineChars="0"/>
              <w:jc w:val="center"/>
              <w:rPr>
                <w:sz w:val="24"/>
              </w:rPr>
            </w:pPr>
          </w:p>
        </w:tc>
        <w:tc>
          <w:tcPr>
            <w:tcW w:w="2146" w:type="dxa"/>
            <w:vAlign w:val="center"/>
          </w:tcPr>
          <w:p>
            <w:pPr>
              <w:snapToGrid w:val="0"/>
              <w:spacing w:line="360" w:lineRule="auto"/>
              <w:ind w:firstLine="0" w:firstLineChars="0"/>
              <w:jc w:val="center"/>
              <w:rPr>
                <w:sz w:val="24"/>
              </w:rPr>
            </w:pPr>
          </w:p>
        </w:tc>
        <w:tc>
          <w:tcPr>
            <w:tcW w:w="2477" w:type="dxa"/>
            <w:vAlign w:val="center"/>
          </w:tcPr>
          <w:p>
            <w:pPr>
              <w:snapToGrid w:val="0"/>
              <w:spacing w:line="36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vAlign w:val="center"/>
          </w:tcPr>
          <w:p>
            <w:pPr>
              <w:snapToGrid w:val="0"/>
              <w:spacing w:line="360" w:lineRule="auto"/>
              <w:ind w:firstLine="0" w:firstLineChars="0"/>
              <w:jc w:val="center"/>
              <w:rPr>
                <w:sz w:val="24"/>
              </w:rPr>
            </w:pPr>
            <w:r>
              <w:rPr>
                <w:sz w:val="24"/>
              </w:rPr>
              <w:t>7</w:t>
            </w:r>
          </w:p>
        </w:tc>
        <w:tc>
          <w:tcPr>
            <w:tcW w:w="1994" w:type="dxa"/>
            <w:vAlign w:val="center"/>
          </w:tcPr>
          <w:p>
            <w:pPr>
              <w:snapToGrid w:val="0"/>
              <w:spacing w:line="360" w:lineRule="auto"/>
              <w:ind w:firstLine="0" w:firstLineChars="0"/>
              <w:rPr>
                <w:sz w:val="24"/>
              </w:rPr>
            </w:pPr>
            <w:r>
              <w:rPr>
                <w:sz w:val="24"/>
              </w:rPr>
              <w:t>通道</w:t>
            </w:r>
          </w:p>
        </w:tc>
        <w:tc>
          <w:tcPr>
            <w:tcW w:w="900" w:type="dxa"/>
            <w:vAlign w:val="center"/>
          </w:tcPr>
          <w:p>
            <w:pPr>
              <w:snapToGrid w:val="0"/>
              <w:spacing w:line="360" w:lineRule="auto"/>
              <w:ind w:firstLine="0" w:firstLineChars="0"/>
              <w:jc w:val="center"/>
              <w:rPr>
                <w:sz w:val="24"/>
              </w:rPr>
            </w:pPr>
            <w:r>
              <w:rPr>
                <w:sz w:val="24"/>
              </w:rPr>
              <w:t>道</w:t>
            </w:r>
          </w:p>
        </w:tc>
        <w:tc>
          <w:tcPr>
            <w:tcW w:w="900" w:type="dxa"/>
            <w:vAlign w:val="center"/>
          </w:tcPr>
          <w:p>
            <w:pPr>
              <w:snapToGrid w:val="0"/>
              <w:spacing w:line="360" w:lineRule="auto"/>
              <w:ind w:firstLine="0" w:firstLineChars="0"/>
              <w:jc w:val="center"/>
              <w:rPr>
                <w:sz w:val="24"/>
              </w:rPr>
            </w:pPr>
          </w:p>
        </w:tc>
        <w:tc>
          <w:tcPr>
            <w:tcW w:w="2700" w:type="dxa"/>
            <w:vAlign w:val="center"/>
          </w:tcPr>
          <w:p>
            <w:pPr>
              <w:snapToGrid w:val="0"/>
              <w:spacing w:line="360" w:lineRule="auto"/>
              <w:ind w:firstLine="0" w:firstLineChars="0"/>
              <w:jc w:val="center"/>
              <w:rPr>
                <w:sz w:val="24"/>
              </w:rPr>
            </w:pPr>
          </w:p>
        </w:tc>
        <w:tc>
          <w:tcPr>
            <w:tcW w:w="2160" w:type="dxa"/>
            <w:vAlign w:val="center"/>
          </w:tcPr>
          <w:p>
            <w:pPr>
              <w:snapToGrid w:val="0"/>
              <w:spacing w:line="360" w:lineRule="auto"/>
              <w:ind w:firstLine="0" w:firstLineChars="0"/>
              <w:jc w:val="center"/>
              <w:rPr>
                <w:sz w:val="24"/>
              </w:rPr>
            </w:pPr>
          </w:p>
        </w:tc>
        <w:tc>
          <w:tcPr>
            <w:tcW w:w="2146" w:type="dxa"/>
            <w:vAlign w:val="center"/>
          </w:tcPr>
          <w:p>
            <w:pPr>
              <w:snapToGrid w:val="0"/>
              <w:spacing w:line="360" w:lineRule="auto"/>
              <w:ind w:firstLine="0" w:firstLineChars="0"/>
              <w:jc w:val="center"/>
              <w:rPr>
                <w:sz w:val="24"/>
              </w:rPr>
            </w:pPr>
          </w:p>
        </w:tc>
        <w:tc>
          <w:tcPr>
            <w:tcW w:w="2477" w:type="dxa"/>
            <w:vAlign w:val="center"/>
          </w:tcPr>
          <w:p>
            <w:pPr>
              <w:snapToGrid w:val="0"/>
              <w:spacing w:line="36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vAlign w:val="center"/>
          </w:tcPr>
          <w:p>
            <w:pPr>
              <w:snapToGrid w:val="0"/>
              <w:spacing w:line="360" w:lineRule="auto"/>
              <w:ind w:firstLine="0" w:firstLineChars="0"/>
              <w:jc w:val="center"/>
              <w:rPr>
                <w:sz w:val="24"/>
              </w:rPr>
            </w:pPr>
            <w:r>
              <w:rPr>
                <w:sz w:val="24"/>
              </w:rPr>
              <w:t>8</w:t>
            </w:r>
          </w:p>
        </w:tc>
        <w:tc>
          <w:tcPr>
            <w:tcW w:w="1994" w:type="dxa"/>
            <w:vAlign w:val="center"/>
          </w:tcPr>
          <w:p>
            <w:pPr>
              <w:snapToGrid w:val="0"/>
              <w:spacing w:line="360" w:lineRule="auto"/>
              <w:ind w:firstLine="0" w:firstLineChars="0"/>
              <w:rPr>
                <w:sz w:val="24"/>
              </w:rPr>
            </w:pPr>
            <w:r>
              <w:rPr>
                <w:sz w:val="24"/>
              </w:rPr>
              <w:t>桥梁基桩</w:t>
            </w:r>
          </w:p>
        </w:tc>
        <w:tc>
          <w:tcPr>
            <w:tcW w:w="900" w:type="dxa"/>
            <w:vAlign w:val="center"/>
          </w:tcPr>
          <w:p>
            <w:pPr>
              <w:snapToGrid w:val="0"/>
              <w:spacing w:line="360" w:lineRule="auto"/>
              <w:ind w:firstLine="0" w:firstLineChars="0"/>
              <w:jc w:val="center"/>
              <w:rPr>
                <w:sz w:val="24"/>
              </w:rPr>
            </w:pPr>
            <w:r>
              <w:rPr>
                <w:sz w:val="24"/>
              </w:rPr>
              <w:t>根</w:t>
            </w:r>
          </w:p>
        </w:tc>
        <w:tc>
          <w:tcPr>
            <w:tcW w:w="900" w:type="dxa"/>
            <w:vAlign w:val="center"/>
          </w:tcPr>
          <w:p>
            <w:pPr>
              <w:snapToGrid w:val="0"/>
              <w:spacing w:line="360" w:lineRule="auto"/>
              <w:ind w:firstLine="0" w:firstLineChars="0"/>
              <w:jc w:val="center"/>
              <w:rPr>
                <w:sz w:val="24"/>
              </w:rPr>
            </w:pPr>
          </w:p>
        </w:tc>
        <w:tc>
          <w:tcPr>
            <w:tcW w:w="2700" w:type="dxa"/>
            <w:vAlign w:val="center"/>
          </w:tcPr>
          <w:p>
            <w:pPr>
              <w:snapToGrid w:val="0"/>
              <w:spacing w:line="360" w:lineRule="auto"/>
              <w:ind w:firstLine="0" w:firstLineChars="0"/>
              <w:jc w:val="center"/>
              <w:rPr>
                <w:sz w:val="24"/>
              </w:rPr>
            </w:pPr>
          </w:p>
        </w:tc>
        <w:tc>
          <w:tcPr>
            <w:tcW w:w="2160" w:type="dxa"/>
            <w:vAlign w:val="center"/>
          </w:tcPr>
          <w:p>
            <w:pPr>
              <w:snapToGrid w:val="0"/>
              <w:spacing w:line="360" w:lineRule="auto"/>
              <w:ind w:firstLine="0" w:firstLineChars="0"/>
              <w:jc w:val="center"/>
              <w:rPr>
                <w:sz w:val="24"/>
              </w:rPr>
            </w:pPr>
          </w:p>
        </w:tc>
        <w:tc>
          <w:tcPr>
            <w:tcW w:w="2146" w:type="dxa"/>
            <w:vAlign w:val="center"/>
          </w:tcPr>
          <w:p>
            <w:pPr>
              <w:snapToGrid w:val="0"/>
              <w:spacing w:line="360" w:lineRule="auto"/>
              <w:ind w:firstLine="0" w:firstLineChars="0"/>
              <w:jc w:val="center"/>
              <w:rPr>
                <w:sz w:val="24"/>
              </w:rPr>
            </w:pPr>
          </w:p>
        </w:tc>
        <w:tc>
          <w:tcPr>
            <w:tcW w:w="2477" w:type="dxa"/>
            <w:vAlign w:val="center"/>
          </w:tcPr>
          <w:p>
            <w:pPr>
              <w:snapToGrid w:val="0"/>
              <w:spacing w:line="36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vAlign w:val="center"/>
          </w:tcPr>
          <w:p>
            <w:pPr>
              <w:snapToGrid w:val="0"/>
              <w:spacing w:line="360" w:lineRule="auto"/>
              <w:ind w:firstLine="0" w:firstLineChars="0"/>
              <w:jc w:val="center"/>
              <w:rPr>
                <w:sz w:val="24"/>
              </w:rPr>
            </w:pPr>
            <w:r>
              <w:rPr>
                <w:sz w:val="24"/>
              </w:rPr>
              <w:t>9</w:t>
            </w:r>
          </w:p>
        </w:tc>
        <w:tc>
          <w:tcPr>
            <w:tcW w:w="1994" w:type="dxa"/>
            <w:vAlign w:val="center"/>
          </w:tcPr>
          <w:p>
            <w:pPr>
              <w:snapToGrid w:val="0"/>
              <w:spacing w:line="360" w:lineRule="auto"/>
              <w:ind w:firstLine="0" w:firstLineChars="0"/>
              <w:rPr>
                <w:sz w:val="24"/>
              </w:rPr>
            </w:pPr>
            <w:r>
              <w:rPr>
                <w:sz w:val="24"/>
              </w:rPr>
              <w:t>桥梁墩台</w:t>
            </w:r>
          </w:p>
        </w:tc>
        <w:tc>
          <w:tcPr>
            <w:tcW w:w="900" w:type="dxa"/>
            <w:vAlign w:val="center"/>
          </w:tcPr>
          <w:p>
            <w:pPr>
              <w:snapToGrid w:val="0"/>
              <w:spacing w:line="360" w:lineRule="auto"/>
              <w:ind w:firstLine="0" w:firstLineChars="0"/>
              <w:jc w:val="center"/>
              <w:rPr>
                <w:sz w:val="24"/>
              </w:rPr>
            </w:pPr>
            <w:r>
              <w:rPr>
                <w:sz w:val="24"/>
              </w:rPr>
              <w:t>座</w:t>
            </w:r>
          </w:p>
        </w:tc>
        <w:tc>
          <w:tcPr>
            <w:tcW w:w="900" w:type="dxa"/>
            <w:vAlign w:val="center"/>
          </w:tcPr>
          <w:p>
            <w:pPr>
              <w:snapToGrid w:val="0"/>
              <w:spacing w:line="360" w:lineRule="auto"/>
              <w:ind w:firstLine="0" w:firstLineChars="0"/>
              <w:jc w:val="center"/>
              <w:rPr>
                <w:sz w:val="24"/>
              </w:rPr>
            </w:pPr>
          </w:p>
        </w:tc>
        <w:tc>
          <w:tcPr>
            <w:tcW w:w="2700" w:type="dxa"/>
            <w:vAlign w:val="center"/>
          </w:tcPr>
          <w:p>
            <w:pPr>
              <w:snapToGrid w:val="0"/>
              <w:spacing w:line="360" w:lineRule="auto"/>
              <w:ind w:firstLine="0" w:firstLineChars="0"/>
              <w:jc w:val="center"/>
              <w:rPr>
                <w:sz w:val="24"/>
              </w:rPr>
            </w:pPr>
          </w:p>
        </w:tc>
        <w:tc>
          <w:tcPr>
            <w:tcW w:w="2160" w:type="dxa"/>
            <w:vAlign w:val="center"/>
          </w:tcPr>
          <w:p>
            <w:pPr>
              <w:snapToGrid w:val="0"/>
              <w:spacing w:line="360" w:lineRule="auto"/>
              <w:ind w:firstLine="0" w:firstLineChars="0"/>
              <w:jc w:val="center"/>
              <w:rPr>
                <w:sz w:val="24"/>
              </w:rPr>
            </w:pPr>
          </w:p>
        </w:tc>
        <w:tc>
          <w:tcPr>
            <w:tcW w:w="2146" w:type="dxa"/>
            <w:vAlign w:val="center"/>
          </w:tcPr>
          <w:p>
            <w:pPr>
              <w:snapToGrid w:val="0"/>
              <w:spacing w:line="360" w:lineRule="auto"/>
              <w:ind w:firstLine="0" w:firstLineChars="0"/>
              <w:jc w:val="center"/>
              <w:rPr>
                <w:sz w:val="24"/>
              </w:rPr>
            </w:pPr>
          </w:p>
        </w:tc>
        <w:tc>
          <w:tcPr>
            <w:tcW w:w="2477" w:type="dxa"/>
            <w:vAlign w:val="center"/>
          </w:tcPr>
          <w:p>
            <w:pPr>
              <w:snapToGrid w:val="0"/>
              <w:spacing w:line="36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vAlign w:val="center"/>
          </w:tcPr>
          <w:p>
            <w:pPr>
              <w:snapToGrid w:val="0"/>
              <w:spacing w:line="360" w:lineRule="auto"/>
              <w:ind w:firstLine="0" w:firstLineChars="0"/>
              <w:jc w:val="center"/>
              <w:rPr>
                <w:sz w:val="24"/>
              </w:rPr>
            </w:pPr>
            <w:r>
              <w:rPr>
                <w:sz w:val="24"/>
              </w:rPr>
              <w:t>10</w:t>
            </w:r>
          </w:p>
        </w:tc>
        <w:tc>
          <w:tcPr>
            <w:tcW w:w="1994" w:type="dxa"/>
            <w:vAlign w:val="center"/>
          </w:tcPr>
          <w:p>
            <w:pPr>
              <w:snapToGrid w:val="0"/>
              <w:spacing w:line="360" w:lineRule="auto"/>
              <w:ind w:firstLine="0" w:firstLineChars="0"/>
              <w:rPr>
                <w:sz w:val="24"/>
              </w:rPr>
            </w:pPr>
            <w:r>
              <w:rPr>
                <w:sz w:val="24"/>
              </w:rPr>
              <w:t>梁体预制安装</w:t>
            </w:r>
          </w:p>
        </w:tc>
        <w:tc>
          <w:tcPr>
            <w:tcW w:w="900" w:type="dxa"/>
            <w:vAlign w:val="center"/>
          </w:tcPr>
          <w:p>
            <w:pPr>
              <w:snapToGrid w:val="0"/>
              <w:spacing w:line="360" w:lineRule="auto"/>
              <w:ind w:firstLine="0" w:firstLineChars="0"/>
              <w:jc w:val="center"/>
              <w:rPr>
                <w:sz w:val="24"/>
              </w:rPr>
            </w:pPr>
            <w:r>
              <w:rPr>
                <w:sz w:val="24"/>
              </w:rPr>
              <w:t>片</w:t>
            </w:r>
          </w:p>
        </w:tc>
        <w:tc>
          <w:tcPr>
            <w:tcW w:w="900" w:type="dxa"/>
            <w:vAlign w:val="center"/>
          </w:tcPr>
          <w:p>
            <w:pPr>
              <w:snapToGrid w:val="0"/>
              <w:spacing w:line="360" w:lineRule="auto"/>
              <w:ind w:firstLine="0" w:firstLineChars="0"/>
              <w:jc w:val="center"/>
              <w:rPr>
                <w:sz w:val="24"/>
              </w:rPr>
            </w:pPr>
          </w:p>
        </w:tc>
        <w:tc>
          <w:tcPr>
            <w:tcW w:w="2700" w:type="dxa"/>
            <w:vAlign w:val="center"/>
          </w:tcPr>
          <w:p>
            <w:pPr>
              <w:snapToGrid w:val="0"/>
              <w:spacing w:line="360" w:lineRule="auto"/>
              <w:ind w:firstLine="0" w:firstLineChars="0"/>
              <w:jc w:val="center"/>
              <w:rPr>
                <w:sz w:val="24"/>
              </w:rPr>
            </w:pPr>
          </w:p>
        </w:tc>
        <w:tc>
          <w:tcPr>
            <w:tcW w:w="2160" w:type="dxa"/>
            <w:vAlign w:val="center"/>
          </w:tcPr>
          <w:p>
            <w:pPr>
              <w:snapToGrid w:val="0"/>
              <w:spacing w:line="360" w:lineRule="auto"/>
              <w:ind w:firstLine="0" w:firstLineChars="0"/>
              <w:jc w:val="center"/>
              <w:rPr>
                <w:sz w:val="24"/>
              </w:rPr>
            </w:pPr>
          </w:p>
        </w:tc>
        <w:tc>
          <w:tcPr>
            <w:tcW w:w="2146" w:type="dxa"/>
            <w:vAlign w:val="center"/>
          </w:tcPr>
          <w:p>
            <w:pPr>
              <w:snapToGrid w:val="0"/>
              <w:spacing w:line="360" w:lineRule="auto"/>
              <w:ind w:firstLine="0" w:firstLineChars="0"/>
              <w:jc w:val="center"/>
              <w:rPr>
                <w:sz w:val="24"/>
              </w:rPr>
            </w:pPr>
          </w:p>
        </w:tc>
        <w:tc>
          <w:tcPr>
            <w:tcW w:w="2477" w:type="dxa"/>
            <w:vAlign w:val="center"/>
          </w:tcPr>
          <w:p>
            <w:pPr>
              <w:snapToGrid w:val="0"/>
              <w:spacing w:line="360" w:lineRule="auto"/>
              <w:ind w:firstLine="0" w:firstLineChars="0"/>
              <w:jc w:val="center"/>
              <w:rPr>
                <w:sz w:val="24"/>
              </w:rPr>
            </w:pPr>
          </w:p>
        </w:tc>
      </w:tr>
    </w:tbl>
    <w:p>
      <w:pPr>
        <w:spacing w:line="360" w:lineRule="auto"/>
        <w:ind w:firstLine="0" w:firstLineChars="0"/>
        <w:rPr>
          <w:sz w:val="24"/>
        </w:rPr>
      </w:pPr>
      <w:r>
        <w:rPr>
          <w:sz w:val="24"/>
        </w:rPr>
        <w:t>注：互通立交、分离立交的匝道、匝道涵洞、通道、桥梁分别归入表中相关的项目内。</w:t>
      </w:r>
    </w:p>
    <w:p>
      <w:pPr>
        <w:spacing w:line="360" w:lineRule="auto"/>
        <w:ind w:firstLine="0" w:firstLineChars="0"/>
        <w:rPr>
          <w:sz w:val="24"/>
        </w:rPr>
      </w:pPr>
    </w:p>
    <w:p>
      <w:pPr>
        <w:spacing w:line="360" w:lineRule="auto"/>
        <w:ind w:firstLine="0" w:firstLineChars="0"/>
        <w:rPr>
          <w:sz w:val="24"/>
        </w:rPr>
        <w:sectPr>
          <w:footnotePr>
            <w:numFmt w:val="decimalEnclosedCircleChinese"/>
            <w:numRestart w:val="eachPage"/>
          </w:footnotePr>
          <w:type w:val="continuous"/>
          <w:pgSz w:w="16840" w:h="11907" w:orient="landscape"/>
          <w:pgMar w:top="1440" w:right="1803" w:bottom="1440" w:left="1803" w:header="851" w:footer="851" w:gutter="0"/>
          <w:cols w:space="425" w:num="1"/>
          <w:docGrid w:linePitch="312" w:charSpace="0"/>
        </w:sectPr>
      </w:pPr>
    </w:p>
    <w:p>
      <w:pPr>
        <w:spacing w:line="360" w:lineRule="auto"/>
        <w:ind w:firstLine="0" w:firstLineChars="0"/>
        <w:rPr>
          <w:b/>
          <w:sz w:val="24"/>
        </w:rPr>
      </w:pPr>
      <w:bookmarkStart w:id="788" w:name="_Toc26657110"/>
      <w:bookmarkStart w:id="789" w:name="_Toc14315"/>
      <w:r>
        <w:rPr>
          <w:b/>
          <w:sz w:val="24"/>
        </w:rPr>
        <w:t>附表五 施工总平面图</w:t>
      </w:r>
      <w:bookmarkEnd w:id="788"/>
      <w:bookmarkEnd w:id="789"/>
    </w:p>
    <w:p>
      <w:pPr>
        <w:spacing w:line="360" w:lineRule="auto"/>
        <w:ind w:firstLine="480"/>
        <w:rPr>
          <w:sz w:val="24"/>
        </w:rPr>
      </w:pPr>
    </w:p>
    <w:p>
      <w:pPr>
        <w:spacing w:line="360" w:lineRule="auto"/>
        <w:ind w:firstLine="480"/>
        <w:rPr>
          <w:sz w:val="24"/>
        </w:rPr>
      </w:pPr>
      <w:r>
        <w:rPr>
          <w:sz w:val="24"/>
        </w:rPr>
        <w:t>投标人应递交一份施工总平面图，绘出现场临时设施布置图表并附文字说明，说明施工营地、料场、临时设施、加工车间、现场办公、设备及仓储、供电、供水、卫生、生活、道路、消防等设施的情况和布置。</w:t>
      </w:r>
    </w:p>
    <w:p>
      <w:pPr>
        <w:spacing w:line="360" w:lineRule="auto"/>
        <w:ind w:firstLine="0" w:firstLineChars="0"/>
        <w:rPr>
          <w:sz w:val="24"/>
        </w:rPr>
      </w:pPr>
    </w:p>
    <w:p>
      <w:pPr>
        <w:spacing w:line="360" w:lineRule="auto"/>
        <w:ind w:firstLine="0" w:firstLineChars="0"/>
        <w:rPr>
          <w:b/>
          <w:sz w:val="24"/>
        </w:rPr>
      </w:pPr>
      <w:r>
        <w:rPr>
          <w:b/>
          <w:bCs/>
          <w:kern w:val="44"/>
          <w:sz w:val="24"/>
        </w:rPr>
        <w:br w:type="page"/>
      </w:r>
      <w:bookmarkStart w:id="790" w:name="_Toc20269"/>
      <w:bookmarkStart w:id="791" w:name="_Toc26657111"/>
      <w:r>
        <w:rPr>
          <w:b/>
          <w:sz w:val="24"/>
        </w:rPr>
        <w:t>附表六 劳动力计划表</w:t>
      </w:r>
      <w:bookmarkEnd w:id="790"/>
      <w:bookmarkEnd w:id="791"/>
    </w:p>
    <w:p>
      <w:pPr>
        <w:spacing w:line="360" w:lineRule="auto"/>
        <w:ind w:firstLine="0" w:firstLineChars="0"/>
        <w:jc w:val="right"/>
        <w:rPr>
          <w:sz w:val="24"/>
        </w:rPr>
      </w:pPr>
      <w:r>
        <w:rPr>
          <w:sz w:val="24"/>
        </w:rPr>
        <w:t>单位：人</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434"/>
        <w:gridCol w:w="1172"/>
        <w:gridCol w:w="1172"/>
        <w:gridCol w:w="1172"/>
        <w:gridCol w:w="1172"/>
        <w:gridCol w:w="117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pPr>
              <w:spacing w:line="360" w:lineRule="auto"/>
              <w:ind w:firstLine="0" w:firstLineChars="0"/>
              <w:jc w:val="center"/>
              <w:rPr>
                <w:sz w:val="24"/>
              </w:rPr>
            </w:pPr>
            <w:r>
              <w:rPr>
                <w:sz w:val="24"/>
              </w:rPr>
              <w:t>工种</w:t>
            </w:r>
          </w:p>
        </w:tc>
        <w:tc>
          <w:tcPr>
            <w:tcW w:w="4514" w:type="pct"/>
            <w:gridSpan w:val="7"/>
            <w:vAlign w:val="center"/>
          </w:tcPr>
          <w:p>
            <w:pPr>
              <w:spacing w:line="360" w:lineRule="auto"/>
              <w:ind w:firstLine="0" w:firstLineChars="0"/>
              <w:jc w:val="center"/>
              <w:rPr>
                <w:sz w:val="24"/>
              </w:rPr>
            </w:pPr>
            <w:r>
              <w:rPr>
                <w:rFonts w:hint="eastAsia"/>
                <w:sz w:val="24"/>
              </w:rPr>
              <w:t>按照</w:t>
            </w:r>
            <w:r>
              <w:rPr>
                <w:sz w:val="24"/>
              </w:rPr>
              <w:t>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pPr>
              <w:spacing w:line="360" w:lineRule="auto"/>
              <w:ind w:firstLine="0" w:firstLineChars="0"/>
              <w:jc w:val="center"/>
              <w:rPr>
                <w:sz w:val="24"/>
              </w:rPr>
            </w:pPr>
          </w:p>
        </w:tc>
        <w:tc>
          <w:tcPr>
            <w:tcW w:w="765" w:type="pct"/>
            <w:vAlign w:val="center"/>
          </w:tcPr>
          <w:p>
            <w:pPr>
              <w:spacing w:line="360" w:lineRule="auto"/>
              <w:ind w:firstLine="0" w:firstLineChars="0"/>
              <w:jc w:val="center"/>
              <w:rPr>
                <w:sz w:val="24"/>
              </w:rPr>
            </w:pPr>
          </w:p>
        </w:tc>
        <w:tc>
          <w:tcPr>
            <w:tcW w:w="625" w:type="pct"/>
            <w:vAlign w:val="center"/>
          </w:tcPr>
          <w:p>
            <w:pPr>
              <w:spacing w:line="360" w:lineRule="auto"/>
              <w:ind w:firstLine="0" w:firstLineChars="0"/>
              <w:jc w:val="center"/>
              <w:rPr>
                <w:sz w:val="24"/>
              </w:rPr>
            </w:pPr>
          </w:p>
        </w:tc>
        <w:tc>
          <w:tcPr>
            <w:tcW w:w="625" w:type="pct"/>
            <w:vAlign w:val="center"/>
          </w:tcPr>
          <w:p>
            <w:pPr>
              <w:spacing w:line="360" w:lineRule="auto"/>
              <w:ind w:firstLine="0" w:firstLineChars="0"/>
              <w:jc w:val="center"/>
              <w:rPr>
                <w:sz w:val="24"/>
              </w:rPr>
            </w:pPr>
          </w:p>
        </w:tc>
        <w:tc>
          <w:tcPr>
            <w:tcW w:w="625" w:type="pct"/>
            <w:vAlign w:val="center"/>
          </w:tcPr>
          <w:p>
            <w:pPr>
              <w:spacing w:line="360" w:lineRule="auto"/>
              <w:ind w:firstLine="0" w:firstLineChars="0"/>
              <w:jc w:val="center"/>
              <w:rPr>
                <w:sz w:val="24"/>
              </w:rPr>
            </w:pPr>
          </w:p>
        </w:tc>
        <w:tc>
          <w:tcPr>
            <w:tcW w:w="625" w:type="pct"/>
            <w:vAlign w:val="center"/>
          </w:tcPr>
          <w:p>
            <w:pPr>
              <w:spacing w:line="360" w:lineRule="auto"/>
              <w:ind w:firstLine="0" w:firstLineChars="0"/>
              <w:jc w:val="center"/>
              <w:rPr>
                <w:sz w:val="24"/>
              </w:rPr>
            </w:pPr>
          </w:p>
        </w:tc>
        <w:tc>
          <w:tcPr>
            <w:tcW w:w="625" w:type="pct"/>
            <w:vAlign w:val="center"/>
          </w:tcPr>
          <w:p>
            <w:pPr>
              <w:spacing w:line="360" w:lineRule="auto"/>
              <w:ind w:firstLine="0" w:firstLineChars="0"/>
              <w:jc w:val="center"/>
              <w:rPr>
                <w:sz w:val="24"/>
              </w:rPr>
            </w:pPr>
          </w:p>
        </w:tc>
        <w:tc>
          <w:tcPr>
            <w:tcW w:w="624" w:type="pct"/>
            <w:vAlign w:val="center"/>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pPr>
              <w:spacing w:line="360" w:lineRule="auto"/>
              <w:ind w:firstLine="0" w:firstLineChars="0"/>
              <w:jc w:val="center"/>
              <w:rPr>
                <w:sz w:val="24"/>
              </w:rPr>
            </w:pPr>
          </w:p>
        </w:tc>
        <w:tc>
          <w:tcPr>
            <w:tcW w:w="765" w:type="pct"/>
            <w:vAlign w:val="center"/>
          </w:tcPr>
          <w:p>
            <w:pPr>
              <w:spacing w:line="360" w:lineRule="auto"/>
              <w:ind w:firstLine="0" w:firstLineChars="0"/>
              <w:jc w:val="center"/>
              <w:rPr>
                <w:sz w:val="24"/>
              </w:rPr>
            </w:pPr>
          </w:p>
        </w:tc>
        <w:tc>
          <w:tcPr>
            <w:tcW w:w="625" w:type="pct"/>
            <w:vAlign w:val="center"/>
          </w:tcPr>
          <w:p>
            <w:pPr>
              <w:spacing w:line="360" w:lineRule="auto"/>
              <w:ind w:firstLine="0" w:firstLineChars="0"/>
              <w:jc w:val="center"/>
              <w:rPr>
                <w:sz w:val="24"/>
              </w:rPr>
            </w:pPr>
          </w:p>
        </w:tc>
        <w:tc>
          <w:tcPr>
            <w:tcW w:w="625" w:type="pct"/>
            <w:vAlign w:val="center"/>
          </w:tcPr>
          <w:p>
            <w:pPr>
              <w:spacing w:line="360" w:lineRule="auto"/>
              <w:ind w:firstLine="0" w:firstLineChars="0"/>
              <w:jc w:val="center"/>
              <w:rPr>
                <w:sz w:val="24"/>
              </w:rPr>
            </w:pPr>
          </w:p>
        </w:tc>
        <w:tc>
          <w:tcPr>
            <w:tcW w:w="625" w:type="pct"/>
            <w:vAlign w:val="center"/>
          </w:tcPr>
          <w:p>
            <w:pPr>
              <w:spacing w:line="360" w:lineRule="auto"/>
              <w:ind w:firstLine="0" w:firstLineChars="0"/>
              <w:jc w:val="center"/>
              <w:rPr>
                <w:sz w:val="24"/>
              </w:rPr>
            </w:pPr>
          </w:p>
        </w:tc>
        <w:tc>
          <w:tcPr>
            <w:tcW w:w="625" w:type="pct"/>
            <w:vAlign w:val="center"/>
          </w:tcPr>
          <w:p>
            <w:pPr>
              <w:spacing w:line="360" w:lineRule="auto"/>
              <w:ind w:firstLine="0" w:firstLineChars="0"/>
              <w:jc w:val="center"/>
              <w:rPr>
                <w:sz w:val="24"/>
              </w:rPr>
            </w:pPr>
          </w:p>
        </w:tc>
        <w:tc>
          <w:tcPr>
            <w:tcW w:w="625" w:type="pct"/>
            <w:vAlign w:val="center"/>
          </w:tcPr>
          <w:p>
            <w:pPr>
              <w:spacing w:line="360" w:lineRule="auto"/>
              <w:ind w:firstLine="0" w:firstLineChars="0"/>
              <w:jc w:val="center"/>
              <w:rPr>
                <w:sz w:val="24"/>
              </w:rPr>
            </w:pPr>
          </w:p>
        </w:tc>
        <w:tc>
          <w:tcPr>
            <w:tcW w:w="624" w:type="pct"/>
            <w:vAlign w:val="center"/>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360" w:lineRule="auto"/>
              <w:ind w:firstLine="0" w:firstLineChars="0"/>
              <w:jc w:val="center"/>
              <w:rPr>
                <w:sz w:val="24"/>
              </w:rPr>
            </w:pPr>
          </w:p>
        </w:tc>
        <w:tc>
          <w:tcPr>
            <w:tcW w:w="76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5" w:type="pct"/>
          </w:tcPr>
          <w:p>
            <w:pPr>
              <w:spacing w:line="360" w:lineRule="auto"/>
              <w:ind w:firstLine="0" w:firstLineChars="0"/>
              <w:jc w:val="center"/>
              <w:rPr>
                <w:sz w:val="24"/>
              </w:rPr>
            </w:pPr>
          </w:p>
        </w:tc>
        <w:tc>
          <w:tcPr>
            <w:tcW w:w="624" w:type="pct"/>
          </w:tcPr>
          <w:p>
            <w:pPr>
              <w:spacing w:line="360" w:lineRule="auto"/>
              <w:ind w:firstLine="0" w:firstLineChars="0"/>
              <w:jc w:val="center"/>
              <w:rPr>
                <w:sz w:val="24"/>
              </w:rPr>
            </w:pPr>
          </w:p>
        </w:tc>
      </w:tr>
    </w:tbl>
    <w:p>
      <w:pPr>
        <w:spacing w:line="360" w:lineRule="auto"/>
        <w:ind w:firstLine="0" w:firstLineChars="0"/>
        <w:rPr>
          <w:b/>
          <w:sz w:val="24"/>
        </w:rPr>
      </w:pPr>
      <w:r>
        <w:rPr>
          <w:b/>
          <w:bCs/>
          <w:kern w:val="44"/>
          <w:sz w:val="24"/>
        </w:rPr>
        <w:br w:type="page"/>
      </w:r>
      <w:bookmarkStart w:id="792" w:name="_Toc26657112"/>
      <w:bookmarkStart w:id="793" w:name="_Toc7125"/>
      <w:r>
        <w:rPr>
          <w:b/>
          <w:sz w:val="24"/>
        </w:rPr>
        <w:t>附表七 临时占地计划表</w:t>
      </w:r>
      <w:bookmarkEnd w:id="792"/>
      <w:bookmarkEnd w:id="793"/>
    </w:p>
    <w:tbl>
      <w:tblPr>
        <w:tblStyle w:val="56"/>
        <w:tblW w:w="88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839"/>
        <w:gridCol w:w="394"/>
        <w:gridCol w:w="395"/>
        <w:gridCol w:w="600"/>
        <w:gridCol w:w="600"/>
        <w:gridCol w:w="600"/>
        <w:gridCol w:w="1560"/>
        <w:gridCol w:w="600"/>
        <w:gridCol w:w="624"/>
        <w:gridCol w:w="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2839" w:type="dxa"/>
            <w:vMerge w:val="restart"/>
            <w:tcBorders>
              <w:bottom w:val="nil"/>
            </w:tcBorders>
            <w:vAlign w:val="center"/>
          </w:tcPr>
          <w:p>
            <w:pPr>
              <w:snapToGrid w:val="0"/>
              <w:spacing w:line="360" w:lineRule="auto"/>
              <w:ind w:firstLine="0" w:firstLineChars="0"/>
              <w:jc w:val="center"/>
              <w:rPr>
                <w:sz w:val="24"/>
              </w:rPr>
            </w:pPr>
            <w:r>
              <w:rPr>
                <w:sz w:val="24"/>
              </w:rPr>
              <w:t>用        途</w:t>
            </w:r>
          </w:p>
        </w:tc>
        <w:tc>
          <w:tcPr>
            <w:tcW w:w="2589" w:type="dxa"/>
            <w:gridSpan w:val="5"/>
            <w:vAlign w:val="center"/>
          </w:tcPr>
          <w:p>
            <w:pPr>
              <w:snapToGrid w:val="0"/>
              <w:spacing w:line="360" w:lineRule="auto"/>
              <w:ind w:firstLine="0" w:firstLineChars="0"/>
              <w:jc w:val="center"/>
              <w:rPr>
                <w:sz w:val="24"/>
              </w:rPr>
            </w:pPr>
            <w:r>
              <w:rPr>
                <w:sz w:val="24"/>
              </w:rPr>
              <w:t>面     积 （m</w:t>
            </w:r>
            <w:r>
              <w:rPr>
                <w:sz w:val="24"/>
                <w:vertAlign w:val="superscript"/>
              </w:rPr>
              <w:t>2</w:t>
            </w:r>
            <w:r>
              <w:rPr>
                <w:sz w:val="24"/>
              </w:rPr>
              <w:t>）</w:t>
            </w:r>
          </w:p>
        </w:tc>
        <w:tc>
          <w:tcPr>
            <w:tcW w:w="1560" w:type="dxa"/>
            <w:tcBorders>
              <w:bottom w:val="nil"/>
            </w:tcBorders>
            <w:vAlign w:val="center"/>
          </w:tcPr>
          <w:p>
            <w:pPr>
              <w:snapToGrid w:val="0"/>
              <w:spacing w:line="360" w:lineRule="auto"/>
              <w:ind w:firstLine="0" w:firstLineChars="0"/>
              <w:jc w:val="center"/>
              <w:rPr>
                <w:sz w:val="24"/>
              </w:rPr>
            </w:pPr>
            <w:r>
              <w:rPr>
                <w:sz w:val="24"/>
              </w:rPr>
              <w:t>需用时间</w:t>
            </w:r>
          </w:p>
        </w:tc>
        <w:tc>
          <w:tcPr>
            <w:tcW w:w="1848" w:type="dxa"/>
            <w:gridSpan w:val="3"/>
            <w:vAlign w:val="center"/>
          </w:tcPr>
          <w:p>
            <w:pPr>
              <w:snapToGrid w:val="0"/>
              <w:spacing w:line="360" w:lineRule="auto"/>
              <w:ind w:firstLine="0" w:firstLineChars="0"/>
              <w:jc w:val="center"/>
              <w:rPr>
                <w:sz w:val="24"/>
              </w:rPr>
            </w:pPr>
            <w:r>
              <w:rPr>
                <w:sz w:val="24"/>
              </w:rPr>
              <w:t>用地位置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2839" w:type="dxa"/>
            <w:vMerge w:val="continue"/>
            <w:tcBorders>
              <w:top w:val="nil"/>
            </w:tcBorders>
            <w:vAlign w:val="center"/>
          </w:tcPr>
          <w:p>
            <w:pPr>
              <w:snapToGrid w:val="0"/>
              <w:spacing w:line="360" w:lineRule="auto"/>
              <w:ind w:firstLine="0" w:firstLineChars="0"/>
              <w:jc w:val="center"/>
              <w:rPr>
                <w:sz w:val="24"/>
              </w:rPr>
            </w:pPr>
          </w:p>
        </w:tc>
        <w:tc>
          <w:tcPr>
            <w:tcW w:w="394" w:type="dxa"/>
            <w:shd w:val="clear" w:color="auto" w:fill="auto"/>
            <w:vAlign w:val="center"/>
          </w:tcPr>
          <w:p>
            <w:pPr>
              <w:snapToGrid w:val="0"/>
              <w:spacing w:line="360" w:lineRule="auto"/>
              <w:ind w:firstLine="0" w:firstLineChars="0"/>
              <w:jc w:val="center"/>
              <w:rPr>
                <w:sz w:val="24"/>
              </w:rPr>
            </w:pPr>
            <w:r>
              <w:rPr>
                <w:sz w:val="24"/>
              </w:rPr>
              <w:t>菜地</w:t>
            </w:r>
          </w:p>
        </w:tc>
        <w:tc>
          <w:tcPr>
            <w:tcW w:w="395" w:type="dxa"/>
            <w:shd w:val="clear" w:color="auto" w:fill="auto"/>
            <w:vAlign w:val="center"/>
          </w:tcPr>
          <w:p>
            <w:pPr>
              <w:snapToGrid w:val="0"/>
              <w:spacing w:line="360" w:lineRule="auto"/>
              <w:ind w:firstLine="0" w:firstLineChars="0"/>
              <w:jc w:val="center"/>
              <w:rPr>
                <w:sz w:val="24"/>
              </w:rPr>
            </w:pPr>
            <w:r>
              <w:rPr>
                <w:sz w:val="24"/>
              </w:rPr>
              <w:t>水田</w:t>
            </w:r>
          </w:p>
        </w:tc>
        <w:tc>
          <w:tcPr>
            <w:tcW w:w="600" w:type="dxa"/>
            <w:vAlign w:val="center"/>
          </w:tcPr>
          <w:p>
            <w:pPr>
              <w:snapToGrid w:val="0"/>
              <w:spacing w:line="360" w:lineRule="auto"/>
              <w:ind w:firstLine="0" w:firstLineChars="0"/>
              <w:jc w:val="center"/>
              <w:rPr>
                <w:sz w:val="24"/>
              </w:rPr>
            </w:pPr>
            <w:r>
              <w:rPr>
                <w:sz w:val="24"/>
              </w:rPr>
              <w:t>旱地</w:t>
            </w:r>
          </w:p>
        </w:tc>
        <w:tc>
          <w:tcPr>
            <w:tcW w:w="600" w:type="dxa"/>
            <w:vAlign w:val="center"/>
          </w:tcPr>
          <w:p>
            <w:pPr>
              <w:snapToGrid w:val="0"/>
              <w:spacing w:line="360" w:lineRule="auto"/>
              <w:ind w:firstLine="0" w:firstLineChars="0"/>
              <w:jc w:val="center"/>
              <w:rPr>
                <w:sz w:val="24"/>
              </w:rPr>
            </w:pPr>
            <w:r>
              <w:rPr>
                <w:sz w:val="24"/>
              </w:rPr>
              <w:t>果园</w:t>
            </w:r>
          </w:p>
        </w:tc>
        <w:tc>
          <w:tcPr>
            <w:tcW w:w="600" w:type="dxa"/>
            <w:vAlign w:val="center"/>
          </w:tcPr>
          <w:p>
            <w:pPr>
              <w:snapToGrid w:val="0"/>
              <w:spacing w:line="360" w:lineRule="auto"/>
              <w:ind w:firstLine="0" w:firstLineChars="0"/>
              <w:jc w:val="center"/>
              <w:rPr>
                <w:sz w:val="24"/>
              </w:rPr>
            </w:pPr>
            <w:r>
              <w:rPr>
                <w:sz w:val="24"/>
              </w:rPr>
              <w:t>荒地</w:t>
            </w:r>
          </w:p>
        </w:tc>
        <w:tc>
          <w:tcPr>
            <w:tcW w:w="1560" w:type="dxa"/>
            <w:tcBorders>
              <w:top w:val="nil"/>
              <w:bottom w:val="single" w:color="auto" w:sz="6" w:space="0"/>
            </w:tcBorders>
            <w:vAlign w:val="center"/>
          </w:tcPr>
          <w:p>
            <w:pPr>
              <w:snapToGrid w:val="0"/>
              <w:spacing w:line="360" w:lineRule="auto"/>
              <w:ind w:firstLine="0" w:firstLineChars="0"/>
              <w:jc w:val="center"/>
              <w:rPr>
                <w:sz w:val="24"/>
              </w:rPr>
            </w:pPr>
            <w:r>
              <w:rPr>
                <w:sz w:val="24"/>
              </w:rPr>
              <w:t>___年___月至</w:t>
            </w:r>
          </w:p>
          <w:p>
            <w:pPr>
              <w:snapToGrid w:val="0"/>
              <w:spacing w:line="360" w:lineRule="auto"/>
              <w:ind w:firstLine="0" w:firstLineChars="0"/>
              <w:jc w:val="center"/>
              <w:rPr>
                <w:sz w:val="24"/>
              </w:rPr>
            </w:pPr>
            <w:r>
              <w:rPr>
                <w:sz w:val="24"/>
              </w:rPr>
              <w:t>___年___月</w:t>
            </w:r>
          </w:p>
        </w:tc>
        <w:tc>
          <w:tcPr>
            <w:tcW w:w="600" w:type="dxa"/>
            <w:vAlign w:val="center"/>
          </w:tcPr>
          <w:p>
            <w:pPr>
              <w:snapToGrid w:val="0"/>
              <w:spacing w:line="360" w:lineRule="auto"/>
              <w:ind w:firstLine="0" w:firstLineChars="0"/>
              <w:jc w:val="center"/>
              <w:rPr>
                <w:sz w:val="24"/>
              </w:rPr>
            </w:pPr>
            <w:r>
              <w:rPr>
                <w:sz w:val="24"/>
              </w:rPr>
              <w:t>桩号</w:t>
            </w:r>
          </w:p>
        </w:tc>
        <w:tc>
          <w:tcPr>
            <w:tcW w:w="624" w:type="dxa"/>
            <w:vAlign w:val="center"/>
          </w:tcPr>
          <w:p>
            <w:pPr>
              <w:snapToGrid w:val="0"/>
              <w:spacing w:line="360" w:lineRule="auto"/>
              <w:ind w:firstLine="0" w:firstLineChars="0"/>
              <w:jc w:val="center"/>
              <w:rPr>
                <w:sz w:val="24"/>
              </w:rPr>
            </w:pPr>
            <w:r>
              <w:rPr>
                <w:sz w:val="24"/>
              </w:rPr>
              <w:t>左侧（m）</w:t>
            </w:r>
          </w:p>
        </w:tc>
        <w:tc>
          <w:tcPr>
            <w:tcW w:w="624" w:type="dxa"/>
            <w:vAlign w:val="center"/>
          </w:tcPr>
          <w:p>
            <w:pPr>
              <w:snapToGrid w:val="0"/>
              <w:spacing w:line="360" w:lineRule="auto"/>
              <w:ind w:firstLine="0" w:firstLineChars="0"/>
              <w:jc w:val="center"/>
              <w:rPr>
                <w:sz w:val="24"/>
              </w:rPr>
            </w:pPr>
            <w:r>
              <w:rPr>
                <w:sz w:val="24"/>
              </w:rPr>
              <w:t>右侧（m）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一、临时工程</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Borders>
              <w:top w:val="nil"/>
            </w:tcBorders>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 xml:space="preserve">  1.便道</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jc w:val="left"/>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 xml:space="preserve">  2.便桥</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 xml:space="preserve">  3.……</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 xml:space="preserve">   ……</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二、生产及生活临时设施</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 xml:space="preserve">  1.临时住房</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 xml:space="preserve">  2.办公等公用房屋</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 xml:space="preserve">  3.料库</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 xml:space="preserve">  4.预制场</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 xml:space="preserve">  ……</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2839" w:type="dxa"/>
          </w:tcPr>
          <w:p>
            <w:pPr>
              <w:snapToGrid w:val="0"/>
              <w:spacing w:line="360" w:lineRule="auto"/>
              <w:ind w:firstLine="0" w:firstLineChars="0"/>
              <w:rPr>
                <w:sz w:val="24"/>
              </w:rPr>
            </w:pPr>
            <w:r>
              <w:rPr>
                <w:sz w:val="24"/>
              </w:rPr>
              <w:t>租用面积合计</w:t>
            </w:r>
          </w:p>
        </w:tc>
        <w:tc>
          <w:tcPr>
            <w:tcW w:w="394" w:type="dxa"/>
            <w:shd w:val="clear" w:color="auto" w:fill="auto"/>
          </w:tcPr>
          <w:p>
            <w:pPr>
              <w:snapToGrid w:val="0"/>
              <w:spacing w:line="360" w:lineRule="auto"/>
              <w:ind w:firstLine="0" w:firstLineChars="0"/>
              <w:rPr>
                <w:sz w:val="24"/>
              </w:rPr>
            </w:pPr>
          </w:p>
        </w:tc>
        <w:tc>
          <w:tcPr>
            <w:tcW w:w="395" w:type="dxa"/>
            <w:shd w:val="clear" w:color="auto" w:fill="auto"/>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1560" w:type="dxa"/>
          </w:tcPr>
          <w:p>
            <w:pPr>
              <w:snapToGrid w:val="0"/>
              <w:spacing w:line="360" w:lineRule="auto"/>
              <w:ind w:firstLine="0" w:firstLineChars="0"/>
              <w:rPr>
                <w:sz w:val="24"/>
              </w:rPr>
            </w:pPr>
          </w:p>
        </w:tc>
        <w:tc>
          <w:tcPr>
            <w:tcW w:w="600"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c>
          <w:tcPr>
            <w:tcW w:w="624" w:type="dxa"/>
          </w:tcPr>
          <w:p>
            <w:pPr>
              <w:snapToGrid w:val="0"/>
              <w:spacing w:line="360" w:lineRule="auto"/>
              <w:ind w:firstLine="0" w:firstLineChars="0"/>
              <w:rPr>
                <w:sz w:val="24"/>
              </w:rPr>
            </w:pPr>
          </w:p>
        </w:tc>
      </w:tr>
    </w:tbl>
    <w:p>
      <w:pPr>
        <w:spacing w:line="360" w:lineRule="auto"/>
        <w:ind w:firstLine="482"/>
        <w:rPr>
          <w:b/>
          <w:sz w:val="24"/>
        </w:rPr>
      </w:pPr>
      <w:bookmarkStart w:id="794" w:name="_Toc11327"/>
      <w:bookmarkStart w:id="795" w:name="_Toc26657113"/>
      <w:r>
        <w:rPr>
          <w:b/>
          <w:sz w:val="24"/>
        </w:rPr>
        <w:br w:type="page"/>
      </w:r>
    </w:p>
    <w:p>
      <w:pPr>
        <w:spacing w:line="360" w:lineRule="auto"/>
        <w:ind w:firstLine="0" w:firstLineChars="0"/>
        <w:rPr>
          <w:b/>
          <w:sz w:val="24"/>
        </w:rPr>
      </w:pPr>
      <w:r>
        <w:rPr>
          <w:b/>
          <w:sz w:val="24"/>
        </w:rPr>
        <w:t>附表八 外供电力需求计划表</w:t>
      </w:r>
      <w:bookmarkEnd w:id="794"/>
      <w:bookmarkEnd w:id="795"/>
    </w:p>
    <w:p>
      <w:pPr>
        <w:snapToGrid w:val="0"/>
        <w:spacing w:line="360" w:lineRule="auto"/>
        <w:ind w:firstLine="0" w:firstLineChars="0"/>
        <w:jc w:val="center"/>
        <w:rPr>
          <w:sz w:val="24"/>
        </w:rPr>
      </w:pPr>
    </w:p>
    <w:tbl>
      <w:tblPr>
        <w:tblStyle w:val="56"/>
        <w:tblW w:w="0" w:type="auto"/>
        <w:tblInd w:w="-118" w:type="dxa"/>
        <w:tblLayout w:type="fixed"/>
        <w:tblCellMar>
          <w:top w:w="0" w:type="dxa"/>
          <w:left w:w="28" w:type="dxa"/>
          <w:bottom w:w="0" w:type="dxa"/>
          <w:right w:w="28" w:type="dxa"/>
        </w:tblCellMar>
      </w:tblPr>
      <w:tblGrid>
        <w:gridCol w:w="1039"/>
        <w:gridCol w:w="994"/>
        <w:gridCol w:w="1384"/>
        <w:gridCol w:w="1226"/>
        <w:gridCol w:w="2366"/>
        <w:gridCol w:w="1777"/>
      </w:tblGrid>
      <w:tr>
        <w:tblPrEx>
          <w:tblCellMar>
            <w:top w:w="0" w:type="dxa"/>
            <w:left w:w="28" w:type="dxa"/>
            <w:bottom w:w="0" w:type="dxa"/>
            <w:right w:w="28" w:type="dxa"/>
          </w:tblCellMar>
        </w:tblPrEx>
        <w:trPr>
          <w:cantSplit/>
        </w:trPr>
        <w:tc>
          <w:tcPr>
            <w:tcW w:w="2033" w:type="dxa"/>
            <w:gridSpan w:val="2"/>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jc w:val="center"/>
              <w:textAlignment w:val="bottom"/>
              <w:rPr>
                <w:sz w:val="24"/>
              </w:rPr>
            </w:pPr>
            <w:r>
              <w:rPr>
                <w:sz w:val="24"/>
              </w:rPr>
              <w:t>用 电 位 置</w:t>
            </w:r>
          </w:p>
        </w:tc>
        <w:tc>
          <w:tcPr>
            <w:tcW w:w="1384" w:type="dxa"/>
            <w:vMerge w:val="restart"/>
            <w:tcBorders>
              <w:top w:val="single" w:color="auto" w:sz="6" w:space="0"/>
              <w:left w:val="single" w:color="auto" w:sz="6" w:space="0"/>
              <w:right w:val="single" w:color="auto" w:sz="6" w:space="0"/>
            </w:tcBorders>
          </w:tcPr>
          <w:p>
            <w:pPr>
              <w:widowControl/>
              <w:autoSpaceDE w:val="0"/>
              <w:autoSpaceDN w:val="0"/>
              <w:spacing w:line="360" w:lineRule="auto"/>
              <w:ind w:firstLine="0" w:firstLineChars="0"/>
              <w:jc w:val="center"/>
              <w:textAlignment w:val="bottom"/>
              <w:rPr>
                <w:sz w:val="24"/>
              </w:rPr>
            </w:pPr>
            <w:r>
              <w:rPr>
                <w:sz w:val="24"/>
              </w:rPr>
              <w:t>计划用电</w:t>
            </w:r>
          </w:p>
          <w:p>
            <w:pPr>
              <w:widowControl/>
              <w:autoSpaceDE w:val="0"/>
              <w:autoSpaceDN w:val="0"/>
              <w:spacing w:line="360" w:lineRule="auto"/>
              <w:ind w:firstLine="0" w:firstLineChars="0"/>
              <w:jc w:val="center"/>
              <w:textAlignment w:val="bottom"/>
              <w:rPr>
                <w:sz w:val="24"/>
              </w:rPr>
            </w:pPr>
            <w:r>
              <w:rPr>
                <w:sz w:val="24"/>
              </w:rPr>
              <w:t>数    量</w:t>
            </w:r>
          </w:p>
          <w:p>
            <w:pPr>
              <w:autoSpaceDE w:val="0"/>
              <w:autoSpaceDN w:val="0"/>
              <w:spacing w:line="360" w:lineRule="auto"/>
              <w:ind w:firstLine="0" w:firstLineChars="0"/>
              <w:jc w:val="center"/>
              <w:textAlignment w:val="bottom"/>
              <w:rPr>
                <w:sz w:val="24"/>
              </w:rPr>
            </w:pPr>
            <w:r>
              <w:rPr>
                <w:sz w:val="24"/>
              </w:rPr>
              <w:t>（kW.h）</w:t>
            </w:r>
          </w:p>
        </w:tc>
        <w:tc>
          <w:tcPr>
            <w:tcW w:w="1226" w:type="dxa"/>
            <w:vMerge w:val="restart"/>
            <w:tcBorders>
              <w:top w:val="single" w:color="auto" w:sz="6" w:space="0"/>
              <w:left w:val="single" w:color="auto" w:sz="6" w:space="0"/>
              <w:right w:val="single" w:color="auto" w:sz="6" w:space="0"/>
            </w:tcBorders>
            <w:vAlign w:val="center"/>
          </w:tcPr>
          <w:p>
            <w:pPr>
              <w:widowControl/>
              <w:autoSpaceDE w:val="0"/>
              <w:autoSpaceDN w:val="0"/>
              <w:spacing w:line="360" w:lineRule="auto"/>
              <w:ind w:firstLine="0" w:firstLineChars="0"/>
              <w:jc w:val="center"/>
              <w:textAlignment w:val="bottom"/>
              <w:rPr>
                <w:sz w:val="24"/>
              </w:rPr>
            </w:pPr>
            <w:r>
              <w:rPr>
                <w:sz w:val="24"/>
              </w:rPr>
              <w:t>用  途</w:t>
            </w:r>
          </w:p>
        </w:tc>
        <w:tc>
          <w:tcPr>
            <w:tcW w:w="2366" w:type="dxa"/>
            <w:tcBorders>
              <w:top w:val="single" w:color="auto" w:sz="6" w:space="0"/>
              <w:left w:val="single" w:color="auto" w:sz="6" w:space="0"/>
              <w:right w:val="single" w:color="auto" w:sz="6" w:space="0"/>
            </w:tcBorders>
          </w:tcPr>
          <w:p>
            <w:pPr>
              <w:widowControl/>
              <w:autoSpaceDE w:val="0"/>
              <w:autoSpaceDN w:val="0"/>
              <w:spacing w:line="360" w:lineRule="auto"/>
              <w:ind w:firstLine="0" w:firstLineChars="0"/>
              <w:jc w:val="center"/>
              <w:textAlignment w:val="bottom"/>
              <w:rPr>
                <w:sz w:val="24"/>
              </w:rPr>
            </w:pPr>
            <w:r>
              <w:rPr>
                <w:sz w:val="24"/>
              </w:rPr>
              <w:t>需 用 时 间</w:t>
            </w:r>
          </w:p>
        </w:tc>
        <w:tc>
          <w:tcPr>
            <w:tcW w:w="1777" w:type="dxa"/>
            <w:vMerge w:val="restart"/>
            <w:tcBorders>
              <w:top w:val="single" w:color="auto" w:sz="6" w:space="0"/>
              <w:left w:val="single" w:color="auto" w:sz="6" w:space="0"/>
              <w:right w:val="single" w:color="auto" w:sz="6" w:space="0"/>
            </w:tcBorders>
            <w:vAlign w:val="center"/>
          </w:tcPr>
          <w:p>
            <w:pPr>
              <w:widowControl/>
              <w:autoSpaceDE w:val="0"/>
              <w:autoSpaceDN w:val="0"/>
              <w:spacing w:line="360" w:lineRule="auto"/>
              <w:ind w:firstLine="0" w:firstLineChars="0"/>
              <w:jc w:val="center"/>
              <w:textAlignment w:val="bottom"/>
              <w:rPr>
                <w:sz w:val="24"/>
              </w:rPr>
            </w:pPr>
            <w:r>
              <w:rPr>
                <w:sz w:val="24"/>
              </w:rPr>
              <w:t>备  注</w:t>
            </w: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60" w:lineRule="auto"/>
              <w:ind w:firstLine="0" w:firstLineChars="0"/>
              <w:jc w:val="center"/>
              <w:textAlignment w:val="bottom"/>
              <w:rPr>
                <w:sz w:val="24"/>
              </w:rPr>
            </w:pPr>
            <w:r>
              <w:rPr>
                <w:sz w:val="24"/>
              </w:rPr>
              <w:t>桩  号</w:t>
            </w: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jc w:val="center"/>
              <w:textAlignment w:val="bottom"/>
              <w:rPr>
                <w:sz w:val="24"/>
              </w:rPr>
            </w:pPr>
            <w:r>
              <w:rPr>
                <w:sz w:val="24"/>
              </w:rPr>
              <w:t>左或右</w:t>
            </w:r>
          </w:p>
          <w:p>
            <w:pPr>
              <w:widowControl/>
              <w:autoSpaceDE w:val="0"/>
              <w:autoSpaceDN w:val="0"/>
              <w:spacing w:line="360" w:lineRule="auto"/>
              <w:ind w:firstLine="0" w:firstLineChars="0"/>
              <w:jc w:val="center"/>
              <w:textAlignment w:val="bottom"/>
              <w:rPr>
                <w:sz w:val="24"/>
              </w:rPr>
            </w:pPr>
            <w:r>
              <w:rPr>
                <w:sz w:val="24"/>
              </w:rPr>
              <w:t>（m）</w:t>
            </w:r>
          </w:p>
        </w:tc>
        <w:tc>
          <w:tcPr>
            <w:tcW w:w="1384" w:type="dxa"/>
            <w:vMerge w:val="continue"/>
            <w:tcBorders>
              <w:left w:val="single" w:color="auto" w:sz="6" w:space="0"/>
              <w:bottom w:val="single" w:color="auto" w:sz="6" w:space="0"/>
              <w:right w:val="single" w:color="auto" w:sz="6" w:space="0"/>
            </w:tcBorders>
          </w:tcPr>
          <w:p>
            <w:pPr>
              <w:widowControl/>
              <w:autoSpaceDE w:val="0"/>
              <w:autoSpaceDN w:val="0"/>
              <w:spacing w:line="360" w:lineRule="auto"/>
              <w:ind w:firstLine="0" w:firstLineChars="0"/>
              <w:jc w:val="center"/>
              <w:textAlignment w:val="bottom"/>
              <w:rPr>
                <w:sz w:val="24"/>
              </w:rPr>
            </w:pPr>
          </w:p>
        </w:tc>
        <w:tc>
          <w:tcPr>
            <w:tcW w:w="1226" w:type="dxa"/>
            <w:vMerge w:val="continue"/>
            <w:tcBorders>
              <w:left w:val="single" w:color="auto" w:sz="6" w:space="0"/>
              <w:bottom w:val="single" w:color="auto" w:sz="6" w:space="0"/>
              <w:right w:val="single" w:color="auto" w:sz="6" w:space="0"/>
            </w:tcBorders>
            <w:vAlign w:val="center"/>
          </w:tcPr>
          <w:p>
            <w:pPr>
              <w:widowControl/>
              <w:autoSpaceDE w:val="0"/>
              <w:autoSpaceDN w:val="0"/>
              <w:spacing w:line="360" w:lineRule="auto"/>
              <w:ind w:firstLine="0" w:firstLineChars="0"/>
              <w:jc w:val="center"/>
              <w:textAlignment w:val="bottom"/>
              <w:rPr>
                <w:sz w:val="24"/>
              </w:rPr>
            </w:pPr>
          </w:p>
        </w:tc>
        <w:tc>
          <w:tcPr>
            <w:tcW w:w="2366" w:type="dxa"/>
            <w:tcBorders>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sz w:val="24"/>
              </w:rPr>
            </w:pPr>
            <w:r>
              <w:rPr>
                <w:sz w:val="24"/>
                <w:u w:val="single"/>
              </w:rPr>
              <w:t xml:space="preserve">      </w:t>
            </w:r>
            <w:r>
              <w:rPr>
                <w:sz w:val="24"/>
              </w:rPr>
              <w:t>年</w:t>
            </w:r>
            <w:r>
              <w:rPr>
                <w:sz w:val="24"/>
                <w:u w:val="single"/>
              </w:rPr>
              <w:t xml:space="preserve">     </w:t>
            </w:r>
            <w:r>
              <w:rPr>
                <w:sz w:val="24"/>
              </w:rPr>
              <w:t>月</w:t>
            </w:r>
          </w:p>
          <w:p>
            <w:pPr>
              <w:widowControl/>
              <w:autoSpaceDE w:val="0"/>
              <w:autoSpaceDN w:val="0"/>
              <w:spacing w:line="360" w:lineRule="auto"/>
              <w:ind w:firstLine="0" w:firstLineChars="0"/>
              <w:textAlignment w:val="bottom"/>
              <w:rPr>
                <w:sz w:val="24"/>
              </w:rPr>
            </w:pPr>
            <w:r>
              <w:rPr>
                <w:sz w:val="24"/>
              </w:rPr>
              <w:t>至</w:t>
            </w:r>
            <w:r>
              <w:rPr>
                <w:sz w:val="24"/>
                <w:u w:val="single"/>
              </w:rPr>
              <w:t xml:space="preserve">      </w:t>
            </w:r>
            <w:r>
              <w:rPr>
                <w:sz w:val="24"/>
              </w:rPr>
              <w:t>年</w:t>
            </w:r>
            <w:r>
              <w:rPr>
                <w:sz w:val="24"/>
                <w:u w:val="single"/>
              </w:rPr>
              <w:t xml:space="preserve">    </w:t>
            </w:r>
            <w:r>
              <w:rPr>
                <w:sz w:val="24"/>
              </w:rPr>
              <w:t>月</w:t>
            </w:r>
          </w:p>
        </w:tc>
        <w:tc>
          <w:tcPr>
            <w:tcW w:w="1777" w:type="dxa"/>
            <w:vMerge w:val="continue"/>
            <w:tcBorders>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r>
        <w:tblPrEx>
          <w:tblCellMar>
            <w:top w:w="0" w:type="dxa"/>
            <w:left w:w="28" w:type="dxa"/>
            <w:bottom w:w="0" w:type="dxa"/>
            <w:right w:w="28" w:type="dxa"/>
          </w:tblCellMar>
        </w:tblPrEx>
        <w:trPr>
          <w:cantSplit/>
        </w:trPr>
        <w:tc>
          <w:tcPr>
            <w:tcW w:w="1039"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99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384"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22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2366"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c>
          <w:tcPr>
            <w:tcW w:w="1777" w:type="dxa"/>
            <w:tcBorders>
              <w:top w:val="single" w:color="auto" w:sz="6" w:space="0"/>
              <w:left w:val="single" w:color="auto" w:sz="6" w:space="0"/>
              <w:bottom w:val="single" w:color="auto" w:sz="6" w:space="0"/>
              <w:right w:val="single" w:color="auto" w:sz="6" w:space="0"/>
            </w:tcBorders>
          </w:tcPr>
          <w:p>
            <w:pPr>
              <w:widowControl/>
              <w:autoSpaceDE w:val="0"/>
              <w:autoSpaceDN w:val="0"/>
              <w:spacing w:line="360" w:lineRule="auto"/>
              <w:ind w:firstLine="0" w:firstLineChars="0"/>
              <w:textAlignment w:val="bottom"/>
              <w:rPr>
                <w:b/>
                <w:sz w:val="24"/>
              </w:rPr>
            </w:pPr>
          </w:p>
        </w:tc>
      </w:tr>
    </w:tbl>
    <w:p>
      <w:pPr>
        <w:spacing w:line="360" w:lineRule="auto"/>
        <w:ind w:firstLine="0" w:firstLineChars="0"/>
        <w:rPr>
          <w:sz w:val="24"/>
        </w:rPr>
      </w:pPr>
      <w:r>
        <w:rPr>
          <w:sz w:val="24"/>
        </w:rPr>
        <w:br w:type="page"/>
      </w:r>
    </w:p>
    <w:p>
      <w:pPr>
        <w:keepNext/>
        <w:keepLines/>
        <w:widowControl/>
        <w:spacing w:before="120" w:after="120" w:line="360" w:lineRule="auto"/>
        <w:ind w:firstLine="0" w:firstLineChars="0"/>
        <w:jc w:val="center"/>
        <w:outlineLvl w:val="2"/>
        <w:rPr>
          <w:b/>
          <w:kern w:val="0"/>
          <w:sz w:val="28"/>
          <w:szCs w:val="28"/>
        </w:rPr>
      </w:pPr>
      <w:bookmarkStart w:id="796" w:name="_Toc138689471"/>
      <w:r>
        <w:rPr>
          <w:rFonts w:hint="eastAsia"/>
          <w:b/>
          <w:kern w:val="0"/>
          <w:sz w:val="28"/>
          <w:szCs w:val="28"/>
        </w:rPr>
        <w:t>二、其他资料</w:t>
      </w:r>
      <w:bookmarkEnd w:id="771"/>
      <w:bookmarkEnd w:id="772"/>
      <w:bookmarkEnd w:id="773"/>
      <w:bookmarkEnd w:id="774"/>
      <w:bookmarkEnd w:id="775"/>
      <w:bookmarkEnd w:id="776"/>
      <w:bookmarkEnd w:id="796"/>
    </w:p>
    <w:p>
      <w:pPr>
        <w:spacing w:beforeLines="100" w:line="510" w:lineRule="exact"/>
        <w:ind w:firstLine="0" w:firstLineChars="0"/>
        <w:jc w:val="center"/>
        <w:rPr>
          <w:rFonts w:eastAsia="黑体"/>
          <w:sz w:val="24"/>
        </w:rPr>
      </w:pPr>
      <w:r>
        <w:rPr>
          <w:rFonts w:hint="eastAsia"/>
          <w:szCs w:val="22"/>
        </w:rPr>
        <w:t>投标人根据自身情况可以自行增加相关内容，如无，本节可以不附。</w:t>
      </w:r>
    </w:p>
    <w:p>
      <w:pPr>
        <w:widowControl/>
        <w:ind w:firstLine="0" w:firstLineChars="0"/>
        <w:jc w:val="left"/>
      </w:pPr>
    </w:p>
    <w:p>
      <w:pPr>
        <w:ind w:firstLine="560"/>
        <w:rPr>
          <w:rFonts w:eastAsia="黑体"/>
          <w:snapToGrid w:val="0"/>
          <w:kern w:val="0"/>
          <w:sz w:val="28"/>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2580"/>
          <w:tab w:val="left" w:pos="5940"/>
        </w:tabs>
        <w:autoSpaceDE w:val="0"/>
        <w:autoSpaceDN w:val="0"/>
        <w:adjustRightInd w:val="0"/>
        <w:snapToGrid w:val="0"/>
        <w:spacing w:line="360" w:lineRule="auto"/>
        <w:ind w:firstLine="0" w:firstLineChars="0"/>
        <w:jc w:val="left"/>
        <w:rPr>
          <w:kern w:val="0"/>
          <w:sz w:val="28"/>
          <w:u w:val="single"/>
        </w:rPr>
      </w:pPr>
    </w:p>
    <w:p>
      <w:pPr>
        <w:tabs>
          <w:tab w:val="left" w:pos="3395"/>
          <w:tab w:val="left" w:pos="5940"/>
        </w:tabs>
        <w:autoSpaceDE w:val="0"/>
        <w:autoSpaceDN w:val="0"/>
        <w:adjustRightInd w:val="0"/>
        <w:snapToGrid w:val="0"/>
        <w:spacing w:line="360" w:lineRule="auto"/>
        <w:ind w:firstLine="1273" w:firstLineChars="398"/>
        <w:jc w:val="left"/>
        <w:rPr>
          <w:rFonts w:ascii="黑体" w:hAnsi="黑体" w:eastAsia="黑体"/>
          <w:b/>
          <w:bCs/>
          <w:kern w:val="0"/>
          <w:sz w:val="28"/>
          <w:szCs w:val="22"/>
        </w:rPr>
      </w:pPr>
      <w:r>
        <w:rPr>
          <w:rFonts w:hint="eastAsia" w:ascii="黑体" w:hAnsi="黑体" w:eastAsia="黑体"/>
          <w:sz w:val="32"/>
          <w:szCs w:val="32"/>
          <w:u w:val="single"/>
        </w:rPr>
        <w:t xml:space="preserve">             </w:t>
      </w:r>
      <w:r>
        <w:rPr>
          <w:rFonts w:hint="eastAsia" w:ascii="黑体" w:hAnsi="黑体" w:eastAsia="黑体"/>
          <w:sz w:val="28"/>
          <w:szCs w:val="28"/>
        </w:rPr>
        <w:t>（项目名称）</w:t>
      </w:r>
      <w:r>
        <w:rPr>
          <w:rFonts w:hint="eastAsia" w:ascii="黑体" w:hAnsi="黑体" w:eastAsia="黑体"/>
          <w:sz w:val="28"/>
          <w:szCs w:val="28"/>
          <w:u w:val="single"/>
        </w:rPr>
        <w:t xml:space="preserve">      </w:t>
      </w:r>
      <w:r>
        <w:rPr>
          <w:rFonts w:hint="eastAsia" w:ascii="黑体" w:hAnsi="黑体" w:eastAsia="黑体"/>
          <w:sz w:val="28"/>
          <w:szCs w:val="28"/>
        </w:rPr>
        <w:t>标段施工招标</w:t>
      </w:r>
    </w:p>
    <w:p>
      <w:pPr>
        <w:tabs>
          <w:tab w:val="left" w:pos="3600"/>
          <w:tab w:val="left" w:pos="4480"/>
          <w:tab w:val="left" w:pos="5360"/>
        </w:tabs>
        <w:autoSpaceDE w:val="0"/>
        <w:autoSpaceDN w:val="0"/>
        <w:adjustRightInd w:val="0"/>
        <w:snapToGrid w:val="0"/>
        <w:spacing w:line="360" w:lineRule="auto"/>
        <w:ind w:firstLine="880"/>
        <w:jc w:val="left"/>
        <w:rPr>
          <w:rFonts w:ascii="宋体" w:hAnsi="宋体"/>
          <w:kern w:val="0"/>
          <w:sz w:val="44"/>
          <w:szCs w:val="22"/>
        </w:rPr>
      </w:pPr>
    </w:p>
    <w:p>
      <w:pPr>
        <w:tabs>
          <w:tab w:val="left" w:pos="3600"/>
          <w:tab w:val="left" w:pos="4480"/>
          <w:tab w:val="left" w:pos="5360"/>
        </w:tabs>
        <w:autoSpaceDE w:val="0"/>
        <w:autoSpaceDN w:val="0"/>
        <w:adjustRightInd w:val="0"/>
        <w:snapToGrid w:val="0"/>
        <w:spacing w:line="360" w:lineRule="auto"/>
        <w:ind w:firstLine="880"/>
        <w:jc w:val="left"/>
        <w:rPr>
          <w:rFonts w:ascii="宋体" w:hAnsi="宋体"/>
          <w:kern w:val="0"/>
          <w:sz w:val="44"/>
          <w:szCs w:val="22"/>
        </w:rPr>
      </w:pPr>
    </w:p>
    <w:p>
      <w:pPr>
        <w:pStyle w:val="5"/>
        <w:jc w:val="center"/>
        <w:rPr>
          <w:rFonts w:ascii="黑体" w:hAnsi="黑体"/>
          <w:sz w:val="40"/>
          <w:szCs w:val="44"/>
        </w:rPr>
      </w:pPr>
      <w:bookmarkStart w:id="797" w:name="_Toc138689472"/>
      <w:bookmarkStart w:id="798" w:name="_Toc98148237"/>
      <w:bookmarkStart w:id="799" w:name="_Toc131087959"/>
      <w:bookmarkStart w:id="800" w:name="_Toc13933"/>
      <w:r>
        <w:rPr>
          <w:rFonts w:hint="eastAsia" w:ascii="黑体" w:hAnsi="黑体"/>
          <w:sz w:val="44"/>
          <w:szCs w:val="44"/>
        </w:rPr>
        <w:t>投标文件</w:t>
      </w:r>
      <w:r>
        <w:rPr>
          <w:rFonts w:ascii="黑体" w:hAnsi="黑体"/>
          <w:bCs w:val="0"/>
          <w:sz w:val="44"/>
          <w:szCs w:val="44"/>
        </w:rPr>
        <w:br w:type="textWrapping"/>
      </w:r>
      <w:r>
        <w:rPr>
          <w:rFonts w:hint="eastAsia" w:ascii="黑体" w:hAnsi="黑体"/>
          <w:sz w:val="40"/>
          <w:szCs w:val="44"/>
        </w:rPr>
        <w:t>（报价文件）</w:t>
      </w:r>
      <w:bookmarkEnd w:id="797"/>
      <w:bookmarkEnd w:id="798"/>
      <w:bookmarkEnd w:id="799"/>
      <w:bookmarkEnd w:id="800"/>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autoSpaceDE w:val="0"/>
        <w:autoSpaceDN w:val="0"/>
        <w:adjustRightInd w:val="0"/>
        <w:snapToGrid w:val="0"/>
        <w:spacing w:line="360" w:lineRule="auto"/>
        <w:ind w:firstLine="402"/>
        <w:jc w:val="left"/>
        <w:rPr>
          <w:rFonts w:ascii="宋体" w:hAnsi="宋体"/>
          <w:b/>
          <w:bCs/>
          <w:kern w:val="0"/>
          <w:sz w:val="20"/>
          <w:szCs w:val="22"/>
        </w:rPr>
      </w:pPr>
    </w:p>
    <w:p>
      <w:pPr>
        <w:spacing w:line="360" w:lineRule="auto"/>
        <w:ind w:firstLine="560"/>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ind w:firstLine="560"/>
        <w:jc w:val="center"/>
        <w:rPr>
          <w:rFonts w:ascii="黑体" w:eastAsia="黑体"/>
          <w:sz w:val="28"/>
          <w:szCs w:val="28"/>
        </w:rPr>
      </w:pPr>
    </w:p>
    <w:p>
      <w:pPr>
        <w:tabs>
          <w:tab w:val="left" w:pos="3280"/>
          <w:tab w:val="left" w:pos="4680"/>
          <w:tab w:val="left" w:pos="6080"/>
        </w:tabs>
        <w:autoSpaceDE w:val="0"/>
        <w:autoSpaceDN w:val="0"/>
        <w:adjustRightInd w:val="0"/>
        <w:snapToGrid w:val="0"/>
        <w:spacing w:line="360" w:lineRule="auto"/>
        <w:ind w:firstLine="560"/>
        <w:jc w:val="center"/>
        <w:rPr>
          <w:rFonts w:ascii="宋体" w:hAnsi="宋体"/>
          <w:b/>
          <w:bCs/>
          <w:kern w:val="0"/>
          <w:sz w:val="28"/>
          <w:szCs w:val="22"/>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tabs>
          <w:tab w:val="left" w:pos="3280"/>
          <w:tab w:val="left" w:pos="4680"/>
          <w:tab w:val="left" w:pos="6080"/>
        </w:tabs>
        <w:autoSpaceDE w:val="0"/>
        <w:autoSpaceDN w:val="0"/>
        <w:adjustRightInd w:val="0"/>
        <w:snapToGrid w:val="0"/>
        <w:spacing w:line="360" w:lineRule="auto"/>
        <w:ind w:firstLine="562"/>
        <w:jc w:val="center"/>
        <w:rPr>
          <w:rFonts w:ascii="宋体" w:hAnsi="宋体"/>
          <w:b/>
          <w:bCs/>
          <w:kern w:val="0"/>
          <w:sz w:val="28"/>
          <w:szCs w:val="22"/>
        </w:rPr>
      </w:pPr>
    </w:p>
    <w:p>
      <w:pPr>
        <w:autoSpaceDE w:val="0"/>
        <w:autoSpaceDN w:val="0"/>
        <w:adjustRightInd w:val="0"/>
        <w:snapToGrid w:val="0"/>
        <w:spacing w:line="360" w:lineRule="auto"/>
        <w:ind w:firstLine="0" w:firstLineChars="0"/>
        <w:jc w:val="left"/>
        <w:rPr>
          <w:kern w:val="0"/>
          <w:sz w:val="24"/>
          <w:szCs w:val="22"/>
        </w:rPr>
      </w:pPr>
      <w:r>
        <w:rPr>
          <w:bCs/>
          <w:kern w:val="0"/>
          <w:sz w:val="24"/>
          <w:szCs w:val="22"/>
        </w:rPr>
        <w:br w:type="page"/>
      </w:r>
    </w:p>
    <w:p>
      <w:pPr>
        <w:autoSpaceDE w:val="0"/>
        <w:autoSpaceDN w:val="0"/>
        <w:adjustRightInd w:val="0"/>
        <w:snapToGrid w:val="0"/>
        <w:spacing w:line="360" w:lineRule="auto"/>
        <w:ind w:firstLine="0" w:firstLineChars="0"/>
        <w:jc w:val="center"/>
        <w:rPr>
          <w:rFonts w:eastAsia="黑体"/>
          <w:b/>
          <w:bCs/>
          <w:kern w:val="0"/>
          <w:sz w:val="32"/>
          <w:szCs w:val="22"/>
        </w:rPr>
      </w:pPr>
      <w:r>
        <w:rPr>
          <w:rFonts w:hint="eastAsia" w:eastAsia="黑体"/>
          <w:b/>
          <w:bCs/>
          <w:kern w:val="0"/>
          <w:sz w:val="32"/>
          <w:szCs w:val="22"/>
        </w:rPr>
        <w:t>目录</w:t>
      </w:r>
    </w:p>
    <w:p>
      <w:pPr>
        <w:autoSpaceDE w:val="0"/>
        <w:autoSpaceDN w:val="0"/>
        <w:adjustRightInd w:val="0"/>
        <w:snapToGrid w:val="0"/>
        <w:spacing w:line="360" w:lineRule="auto"/>
        <w:ind w:firstLine="388" w:firstLineChars="196"/>
        <w:rPr>
          <w:spacing w:val="-6"/>
          <w:szCs w:val="21"/>
        </w:rPr>
      </w:pPr>
    </w:p>
    <w:p>
      <w:pPr>
        <w:spacing w:line="360" w:lineRule="auto"/>
        <w:ind w:firstLine="0" w:firstLineChars="0"/>
        <w:rPr>
          <w:sz w:val="24"/>
        </w:rPr>
      </w:pPr>
      <w:bookmarkStart w:id="801" w:name="_Toc28084"/>
      <w:r>
        <w:rPr>
          <w:sz w:val="24"/>
        </w:rPr>
        <w:t>一、投标函</w:t>
      </w:r>
      <w:bookmarkEnd w:id="801"/>
    </w:p>
    <w:p>
      <w:pPr>
        <w:spacing w:line="360" w:lineRule="auto"/>
        <w:ind w:firstLine="0" w:firstLineChars="0"/>
        <w:rPr>
          <w:sz w:val="24"/>
        </w:rPr>
      </w:pPr>
      <w:bookmarkStart w:id="802" w:name="_Toc188"/>
      <w:r>
        <w:rPr>
          <w:sz w:val="24"/>
        </w:rPr>
        <w:t>二、工程量清单报价书</w:t>
      </w:r>
      <w:bookmarkEnd w:id="802"/>
    </w:p>
    <w:p>
      <w:pPr>
        <w:spacing w:line="360" w:lineRule="auto"/>
        <w:ind w:firstLine="0" w:firstLineChars="0"/>
        <w:rPr>
          <w:sz w:val="24"/>
        </w:rPr>
      </w:pPr>
      <w:bookmarkStart w:id="803" w:name="_Toc21317"/>
      <w:r>
        <w:rPr>
          <w:sz w:val="24"/>
        </w:rPr>
        <w:t>三、异常低价评审表</w:t>
      </w:r>
    </w:p>
    <w:p>
      <w:pPr>
        <w:spacing w:line="360" w:lineRule="auto"/>
        <w:ind w:firstLine="0" w:firstLineChars="0"/>
        <w:rPr>
          <w:sz w:val="24"/>
        </w:rPr>
      </w:pPr>
      <w:r>
        <w:rPr>
          <w:sz w:val="24"/>
        </w:rPr>
        <w:t>四、其他</w:t>
      </w:r>
      <w:r>
        <w:rPr>
          <w:rFonts w:hint="eastAsia"/>
          <w:sz w:val="24"/>
        </w:rPr>
        <w:t>材</w:t>
      </w:r>
      <w:r>
        <w:rPr>
          <w:sz w:val="24"/>
        </w:rPr>
        <w:t>料</w:t>
      </w:r>
      <w:bookmarkEnd w:id="803"/>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pPr>
    </w:p>
    <w:p>
      <w:pPr>
        <w:autoSpaceDE w:val="0"/>
        <w:autoSpaceDN w:val="0"/>
        <w:adjustRightInd w:val="0"/>
        <w:spacing w:line="360" w:lineRule="auto"/>
        <w:ind w:right="-20" w:firstLine="160" w:firstLineChars="50"/>
        <w:jc w:val="left"/>
        <w:rPr>
          <w:sz w:val="32"/>
          <w:szCs w:val="22"/>
        </w:rPr>
        <w:sectPr>
          <w:footerReference r:id="rId17" w:type="default"/>
          <w:headerReference r:id="rId16" w:type="even"/>
          <w:footerReference r:id="rId18" w:type="even"/>
          <w:footnotePr>
            <w:numFmt w:val="decimalEnclosedCircleChinese"/>
            <w:numRestart w:val="eachPage"/>
          </w:footnotePr>
          <w:pgSz w:w="11907" w:h="16840"/>
          <w:pgMar w:top="1474" w:right="1275" w:bottom="1474" w:left="1474" w:header="799" w:footer="907" w:gutter="0"/>
          <w:cols w:space="720" w:num="1"/>
          <w:docGrid w:linePitch="271" w:charSpace="0"/>
        </w:sectPr>
      </w:pPr>
    </w:p>
    <w:p>
      <w:pPr>
        <w:keepNext/>
        <w:keepLines/>
        <w:spacing w:beforeLines="100" w:afterLines="100"/>
        <w:ind w:firstLine="0" w:firstLineChars="0"/>
        <w:jc w:val="center"/>
        <w:outlineLvl w:val="2"/>
        <w:rPr>
          <w:rFonts w:eastAsia="黑体"/>
          <w:bCs/>
          <w:sz w:val="24"/>
          <w:szCs w:val="32"/>
        </w:rPr>
      </w:pPr>
      <w:bookmarkStart w:id="804" w:name="_Toc138689473"/>
      <w:r>
        <w:rPr>
          <w:rFonts w:eastAsia="黑体"/>
          <w:bCs/>
          <w:sz w:val="24"/>
          <w:szCs w:val="32"/>
        </w:rPr>
        <w:t>一、投标函</w:t>
      </w:r>
      <w:bookmarkEnd w:id="804"/>
    </w:p>
    <w:p>
      <w:pPr>
        <w:adjustRightInd w:val="0"/>
        <w:snapToGrid w:val="0"/>
        <w:spacing w:line="360" w:lineRule="auto"/>
        <w:ind w:firstLine="0" w:firstLineChars="0"/>
        <w:rPr>
          <w:sz w:val="24"/>
          <w:u w:val="single"/>
        </w:rPr>
      </w:pPr>
      <w:r>
        <w:rPr>
          <w:snapToGrid w:val="0"/>
          <w:kern w:val="0"/>
          <w:sz w:val="24"/>
          <w:u w:val="single"/>
        </w:rPr>
        <w:t xml:space="preserve">            </w:t>
      </w:r>
      <w:r>
        <w:rPr>
          <w:snapToGrid w:val="0"/>
          <w:kern w:val="0"/>
          <w:sz w:val="24"/>
        </w:rPr>
        <w:t>（招标人名称）：</w:t>
      </w:r>
    </w:p>
    <w:p>
      <w:pPr>
        <w:tabs>
          <w:tab w:val="left" w:pos="7560"/>
        </w:tabs>
        <w:adjustRightInd w:val="0"/>
        <w:snapToGrid w:val="0"/>
        <w:spacing w:line="360" w:lineRule="auto"/>
        <w:ind w:firstLine="480"/>
        <w:jc w:val="left"/>
        <w:rPr>
          <w:sz w:val="24"/>
          <w:u w:val="single"/>
        </w:rPr>
      </w:pPr>
      <w:r>
        <w:rPr>
          <w:sz w:val="24"/>
        </w:rPr>
        <w:t>1.我方已仔细研究</w:t>
      </w:r>
      <w:r>
        <w:rPr>
          <w:sz w:val="24"/>
          <w:u w:val="single"/>
        </w:rPr>
        <w:t xml:space="preserve">      </w:t>
      </w:r>
      <w:r>
        <w:rPr>
          <w:sz w:val="24"/>
        </w:rPr>
        <w:t>（招标项目名称）</w:t>
      </w:r>
      <w:r>
        <w:rPr>
          <w:sz w:val="24"/>
          <w:u w:val="single"/>
        </w:rPr>
        <w:t xml:space="preserve">     </w:t>
      </w:r>
      <w:r>
        <w:rPr>
          <w:sz w:val="24"/>
        </w:rPr>
        <w:t>标段招标文件的全部内容，在考察工程现场后，愿意以人民币（大写）</w:t>
      </w:r>
      <w:r>
        <w:rPr>
          <w:sz w:val="24"/>
          <w:u w:val="single"/>
        </w:rPr>
        <w:t xml:space="preserve">      </w:t>
      </w:r>
      <w:r>
        <w:rPr>
          <w:sz w:val="24"/>
        </w:rPr>
        <w:t>元（¥</w:t>
      </w:r>
      <w:r>
        <w:rPr>
          <w:sz w:val="24"/>
          <w:u w:val="single"/>
        </w:rPr>
        <w:t xml:space="preserve">      </w:t>
      </w:r>
      <w:r>
        <w:rPr>
          <w:sz w:val="24"/>
        </w:rPr>
        <w:t>）的投标总报价</w:t>
      </w:r>
      <w:bookmarkStart w:id="805" w:name="_Hlk22744147"/>
      <w:r>
        <w:rPr>
          <w:sz w:val="24"/>
        </w:rPr>
        <w:t>（含税）（其中，增值税税率</w:t>
      </w:r>
      <w:r>
        <w:rPr>
          <w:rFonts w:hint="eastAsia"/>
          <w:sz w:val="24"/>
        </w:rPr>
        <w:t>按照</w:t>
      </w:r>
      <w:r>
        <w:rPr>
          <w:sz w:val="24"/>
        </w:rPr>
        <w:t>国家规定的相关税率执行）</w:t>
      </w:r>
      <w:bookmarkEnd w:id="805"/>
      <w:r>
        <w:rPr>
          <w:sz w:val="24"/>
        </w:rPr>
        <w:t>，</w:t>
      </w:r>
      <w:r>
        <w:rPr>
          <w:rFonts w:hint="eastAsia"/>
          <w:sz w:val="24"/>
        </w:rPr>
        <w:t>按照</w:t>
      </w:r>
      <w:r>
        <w:rPr>
          <w:sz w:val="24"/>
        </w:rPr>
        <w:t>合同约定实施和完成承包工程，修补工程中的任何缺陷。</w:t>
      </w:r>
    </w:p>
    <w:p>
      <w:pPr>
        <w:adjustRightInd w:val="0"/>
        <w:snapToGrid w:val="0"/>
        <w:spacing w:line="360" w:lineRule="auto"/>
        <w:ind w:firstLine="480"/>
        <w:rPr>
          <w:bCs/>
          <w:sz w:val="24"/>
        </w:rPr>
      </w:pPr>
      <w:r>
        <w:rPr>
          <w:bCs/>
          <w:sz w:val="24"/>
        </w:rPr>
        <w:t>2. 我方已</w:t>
      </w:r>
      <w:r>
        <w:rPr>
          <w:rFonts w:hint="eastAsia"/>
          <w:bCs/>
          <w:sz w:val="24"/>
        </w:rPr>
        <w:t>按照</w:t>
      </w:r>
      <w:r>
        <w:rPr>
          <w:bCs/>
          <w:sz w:val="24"/>
        </w:rPr>
        <w:t>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360" w:lineRule="auto"/>
        <w:ind w:firstLine="480"/>
        <w:rPr>
          <w:bCs/>
          <w:sz w:val="24"/>
        </w:rPr>
      </w:pPr>
      <w:r>
        <w:rPr>
          <w:bCs/>
          <w:sz w:val="24"/>
        </w:rPr>
        <w:t>3.</w:t>
      </w:r>
      <w:r>
        <w:rPr>
          <w:snapToGrid w:val="0"/>
          <w:kern w:val="0"/>
          <w:sz w:val="24"/>
          <w:u w:val="single"/>
        </w:rPr>
        <w:t xml:space="preserve">      </w:t>
      </w:r>
      <w:r>
        <w:rPr>
          <w:snapToGrid w:val="0"/>
          <w:kern w:val="0"/>
          <w:sz w:val="24"/>
        </w:rPr>
        <w:t>（其他补充说明）。</w:t>
      </w:r>
    </w:p>
    <w:p>
      <w:pPr>
        <w:adjustRightInd w:val="0"/>
        <w:snapToGrid w:val="0"/>
        <w:spacing w:line="360" w:lineRule="auto"/>
        <w:ind w:firstLine="0" w:firstLineChars="0"/>
        <w:rPr>
          <w:bCs/>
          <w:sz w:val="24"/>
        </w:rPr>
      </w:pPr>
    </w:p>
    <w:p>
      <w:pPr>
        <w:adjustRightInd w:val="0"/>
        <w:snapToGrid w:val="0"/>
        <w:spacing w:line="360" w:lineRule="auto"/>
        <w:ind w:firstLine="0" w:firstLineChars="0"/>
        <w:jc w:val="right"/>
        <w:rPr>
          <w:bCs/>
          <w:sz w:val="24"/>
          <w:u w:val="single"/>
        </w:rPr>
      </w:pPr>
      <w:r>
        <w:rPr>
          <w:bCs/>
          <w:sz w:val="24"/>
        </w:rPr>
        <w:t>投 标 人：</w:t>
      </w:r>
      <w:r>
        <w:rPr>
          <w:bCs/>
          <w:sz w:val="24"/>
          <w:u w:val="single"/>
        </w:rPr>
        <w:t xml:space="preserve">                           </w:t>
      </w:r>
      <w:r>
        <w:rPr>
          <w:bCs/>
          <w:sz w:val="24"/>
        </w:rPr>
        <w:t>（盖单位章）</w:t>
      </w:r>
    </w:p>
    <w:p>
      <w:pPr>
        <w:adjustRightInd w:val="0"/>
        <w:snapToGrid w:val="0"/>
        <w:spacing w:line="360" w:lineRule="auto"/>
        <w:ind w:firstLine="0" w:firstLineChars="0"/>
        <w:jc w:val="right"/>
        <w:rPr>
          <w:sz w:val="24"/>
          <w:u w:val="single"/>
        </w:rPr>
      </w:pPr>
      <w:r>
        <w:rPr>
          <w:sz w:val="24"/>
        </w:rPr>
        <w:t>法定代表人：</w:t>
      </w:r>
      <w:r>
        <w:rPr>
          <w:sz w:val="24"/>
          <w:u w:val="single"/>
        </w:rPr>
        <w:t xml:space="preserve">                       </w:t>
      </w:r>
      <w:r>
        <w:rPr>
          <w:sz w:val="24"/>
        </w:rPr>
        <w:t>（签字或盖章）</w:t>
      </w:r>
    </w:p>
    <w:p>
      <w:pPr>
        <w:adjustRightInd w:val="0"/>
        <w:snapToGrid w:val="0"/>
        <w:spacing w:beforeLines="20" w:afterLines="20" w:line="400" w:lineRule="exact"/>
        <w:ind w:firstLine="480"/>
        <w:jc w:val="right"/>
        <w:rPr>
          <w:rFonts w:ascii="宋体" w:hAnsi="宋体"/>
          <w:szCs w:val="22"/>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adjustRightInd w:val="0"/>
        <w:snapToGrid w:val="0"/>
        <w:spacing w:beforeLines="20" w:afterLines="20" w:line="400" w:lineRule="exact"/>
        <w:ind w:firstLine="0" w:firstLineChars="0"/>
        <w:outlineLvl w:val="1"/>
        <w:rPr>
          <w:szCs w:val="22"/>
        </w:rPr>
      </w:pPr>
      <w:r>
        <w:rPr>
          <w:sz w:val="24"/>
          <w:szCs w:val="22"/>
        </w:rPr>
        <w:br w:type="page"/>
      </w:r>
    </w:p>
    <w:p>
      <w:pPr>
        <w:adjustRightInd w:val="0"/>
        <w:snapToGrid w:val="0"/>
        <w:spacing w:beforeLines="20" w:afterLines="20" w:line="400" w:lineRule="exact"/>
        <w:ind w:firstLine="0" w:firstLineChars="0"/>
        <w:jc w:val="center"/>
        <w:outlineLvl w:val="1"/>
        <w:rPr>
          <w:b/>
          <w:kern w:val="0"/>
          <w:sz w:val="32"/>
          <w:szCs w:val="20"/>
        </w:rPr>
      </w:pPr>
      <w:bookmarkStart w:id="806" w:name="_Toc53665231"/>
      <w:bookmarkStart w:id="807" w:name="_Toc36562908"/>
      <w:bookmarkStart w:id="808" w:name="_Toc14201423"/>
    </w:p>
    <w:bookmarkEnd w:id="806"/>
    <w:bookmarkEnd w:id="807"/>
    <w:bookmarkEnd w:id="808"/>
    <w:p>
      <w:pPr>
        <w:keepNext/>
        <w:keepLines/>
        <w:spacing w:beforeLines="100" w:afterLines="100"/>
        <w:ind w:firstLine="0" w:firstLineChars="0"/>
        <w:jc w:val="center"/>
        <w:outlineLvl w:val="2"/>
        <w:rPr>
          <w:rFonts w:eastAsia="黑体"/>
          <w:bCs/>
          <w:sz w:val="24"/>
          <w:szCs w:val="32"/>
        </w:rPr>
      </w:pPr>
      <w:bookmarkStart w:id="809" w:name="_Toc24422"/>
      <w:bookmarkStart w:id="810" w:name="_Toc26657117"/>
      <w:bookmarkStart w:id="811" w:name="_Toc22510"/>
      <w:bookmarkStart w:id="812" w:name="_Toc138689474"/>
      <w:r>
        <w:rPr>
          <w:rFonts w:eastAsia="黑体"/>
          <w:bCs/>
          <w:sz w:val="24"/>
          <w:szCs w:val="32"/>
        </w:rPr>
        <w:t>二、已标价工程量清单</w:t>
      </w:r>
      <w:bookmarkEnd w:id="809"/>
      <w:bookmarkEnd w:id="810"/>
      <w:bookmarkEnd w:id="811"/>
      <w:bookmarkEnd w:id="812"/>
    </w:p>
    <w:p>
      <w:pPr>
        <w:spacing w:beforeLines="100" w:afterLines="100"/>
        <w:ind w:firstLine="0" w:firstLineChars="0"/>
        <w:jc w:val="center"/>
        <w:outlineLvl w:val="3"/>
        <w:rPr>
          <w:rFonts w:ascii="黑体" w:hAnsi="黑体" w:eastAsia="黑体" w:cs="黑体"/>
          <w:sz w:val="24"/>
        </w:rPr>
      </w:pPr>
      <w:bookmarkStart w:id="813" w:name="_Toc822"/>
      <w:r>
        <w:rPr>
          <w:rFonts w:hint="eastAsia" w:ascii="黑体" w:hAnsi="黑体" w:eastAsia="黑体" w:cs="黑体"/>
          <w:sz w:val="24"/>
        </w:rPr>
        <w:t>（一）已标价工程量清单封面</w:t>
      </w:r>
      <w:bookmarkEnd w:id="813"/>
    </w:p>
    <w:p>
      <w:pPr>
        <w:adjustRightInd w:val="0"/>
        <w:snapToGrid w:val="0"/>
        <w:spacing w:beforeLines="20" w:afterLines="20" w:line="540" w:lineRule="exact"/>
        <w:ind w:firstLine="0" w:firstLineChars="0"/>
        <w:jc w:val="center"/>
        <w:rPr>
          <w:b/>
          <w:sz w:val="36"/>
          <w:szCs w:val="22"/>
        </w:rPr>
      </w:pPr>
      <w:r>
        <w:rPr>
          <w:b/>
          <w:sz w:val="36"/>
          <w:szCs w:val="22"/>
        </w:rPr>
        <w:t>投标总价</w:t>
      </w:r>
    </w:p>
    <w:p>
      <w:pPr>
        <w:spacing w:line="360" w:lineRule="auto"/>
        <w:ind w:firstLine="0" w:firstLineChars="0"/>
        <w:rPr>
          <w:sz w:val="24"/>
        </w:rPr>
      </w:pPr>
    </w:p>
    <w:p>
      <w:pPr>
        <w:spacing w:line="360" w:lineRule="auto"/>
        <w:ind w:firstLine="0" w:firstLineChars="0"/>
        <w:rPr>
          <w:sz w:val="24"/>
        </w:rPr>
      </w:pPr>
    </w:p>
    <w:p>
      <w:pPr>
        <w:adjustRightInd w:val="0"/>
        <w:snapToGrid w:val="0"/>
        <w:spacing w:beforeLines="20" w:afterLines="20" w:line="540" w:lineRule="exact"/>
        <w:ind w:firstLine="803" w:firstLineChars="287"/>
        <w:rPr>
          <w:sz w:val="28"/>
          <w:szCs w:val="28"/>
        </w:rPr>
      </w:pPr>
      <w:r>
        <w:rPr>
          <w:sz w:val="28"/>
          <w:szCs w:val="28"/>
        </w:rPr>
        <w:t>招标人：</w:t>
      </w:r>
      <w:r>
        <w:rPr>
          <w:sz w:val="28"/>
          <w:szCs w:val="28"/>
          <w:u w:val="single"/>
        </w:rPr>
        <w:t xml:space="preserve">                                    </w:t>
      </w:r>
    </w:p>
    <w:p>
      <w:pPr>
        <w:ind w:firstLine="560"/>
        <w:rPr>
          <w:sz w:val="28"/>
          <w:szCs w:val="28"/>
        </w:rPr>
      </w:pPr>
      <w:bookmarkStart w:id="814" w:name="_Toc2021"/>
      <w:bookmarkStart w:id="815" w:name="_Toc26549"/>
      <w:bookmarkStart w:id="816" w:name="_Toc28482"/>
      <w:bookmarkStart w:id="817" w:name="_Toc8198"/>
      <w:bookmarkStart w:id="818" w:name="_Toc12149"/>
      <w:bookmarkStart w:id="819" w:name="_Toc14162"/>
      <w:bookmarkStart w:id="820" w:name="_Toc25007"/>
      <w:bookmarkStart w:id="821" w:name="_Toc4966"/>
      <w:bookmarkStart w:id="822" w:name="_Toc30385"/>
      <w:bookmarkStart w:id="823" w:name="_Toc6572"/>
      <w:bookmarkStart w:id="824" w:name="_Toc2341"/>
      <w:bookmarkStart w:id="825" w:name="_Toc7006"/>
      <w:bookmarkStart w:id="826" w:name="_Toc19276"/>
      <w:bookmarkStart w:id="827" w:name="_Toc11332"/>
      <w:bookmarkStart w:id="828" w:name="_Toc2852"/>
      <w:bookmarkStart w:id="829" w:name="_Toc18832"/>
      <w:bookmarkStart w:id="830" w:name="_Toc22238"/>
      <w:bookmarkStart w:id="831" w:name="_Toc28635"/>
      <w:bookmarkStart w:id="832" w:name="_Toc5016"/>
      <w:bookmarkStart w:id="833" w:name="_Toc21467"/>
      <w:r>
        <w:rPr>
          <w:sz w:val="28"/>
          <w:szCs w:val="28"/>
        </w:rPr>
        <w:t>工程名称：</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Pr>
          <w:sz w:val="28"/>
          <w:szCs w:val="28"/>
          <w:u w:val="single"/>
        </w:rPr>
        <w:t xml:space="preserve">                                 </w:t>
      </w:r>
    </w:p>
    <w:p>
      <w:pPr>
        <w:ind w:firstLine="560"/>
        <w:rPr>
          <w:sz w:val="28"/>
          <w:szCs w:val="28"/>
        </w:rPr>
      </w:pPr>
      <w:bookmarkStart w:id="834" w:name="_Toc4307"/>
      <w:bookmarkStart w:id="835" w:name="_Toc29317"/>
      <w:bookmarkStart w:id="836" w:name="_Toc12379"/>
      <w:bookmarkStart w:id="837" w:name="_Toc16235"/>
      <w:bookmarkStart w:id="838" w:name="_Toc27094"/>
      <w:bookmarkStart w:id="839" w:name="_Toc317"/>
      <w:bookmarkStart w:id="840" w:name="_Toc13680"/>
      <w:bookmarkStart w:id="841" w:name="_Toc7210"/>
      <w:bookmarkStart w:id="842" w:name="_Toc4260"/>
      <w:bookmarkStart w:id="843" w:name="_Toc18857"/>
      <w:bookmarkStart w:id="844" w:name="_Toc31331"/>
      <w:bookmarkStart w:id="845" w:name="_Toc26212"/>
      <w:bookmarkStart w:id="846" w:name="_Toc9221"/>
      <w:bookmarkStart w:id="847" w:name="_Toc27796"/>
      <w:bookmarkStart w:id="848" w:name="_Toc9441"/>
      <w:bookmarkStart w:id="849" w:name="_Toc3237"/>
      <w:bookmarkStart w:id="850" w:name="_Toc26414"/>
      <w:bookmarkStart w:id="851" w:name="_Toc32448"/>
      <w:bookmarkStart w:id="852" w:name="_Toc17094"/>
      <w:bookmarkStart w:id="853" w:name="_Toc3377"/>
      <w:r>
        <w:rPr>
          <w:sz w:val="28"/>
          <w:szCs w:val="28"/>
        </w:rPr>
        <w:t>投标总价（小写）：</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sz w:val="28"/>
          <w:szCs w:val="28"/>
          <w:u w:val="single"/>
        </w:rPr>
        <w:t xml:space="preserve">                          </w:t>
      </w:r>
    </w:p>
    <w:p>
      <w:pPr>
        <w:ind w:firstLine="1680" w:firstLineChars="600"/>
        <w:rPr>
          <w:b/>
          <w:sz w:val="28"/>
          <w:szCs w:val="28"/>
          <w:u w:val="single"/>
        </w:rPr>
      </w:pPr>
      <w:bookmarkStart w:id="854" w:name="_Toc16608"/>
      <w:bookmarkStart w:id="855" w:name="_Toc17935"/>
      <w:bookmarkStart w:id="856" w:name="_Toc933"/>
      <w:bookmarkStart w:id="857" w:name="_Toc17353"/>
      <w:bookmarkStart w:id="858" w:name="_Toc19840"/>
      <w:bookmarkStart w:id="859" w:name="_Toc9035"/>
      <w:bookmarkStart w:id="860" w:name="_Toc13443"/>
      <w:bookmarkStart w:id="861" w:name="_Toc2076"/>
      <w:bookmarkStart w:id="862" w:name="_Toc13027"/>
      <w:bookmarkStart w:id="863" w:name="_Toc7611"/>
      <w:bookmarkStart w:id="864" w:name="_Toc2994"/>
      <w:bookmarkStart w:id="865" w:name="_Toc23588"/>
      <w:bookmarkStart w:id="866" w:name="_Toc17559"/>
      <w:bookmarkStart w:id="867" w:name="_Toc11277"/>
      <w:bookmarkStart w:id="868" w:name="_Toc28862"/>
      <w:bookmarkStart w:id="869" w:name="_Toc11574"/>
      <w:bookmarkStart w:id="870" w:name="_Toc15184"/>
      <w:bookmarkStart w:id="871" w:name="_Toc2824"/>
      <w:bookmarkStart w:id="872" w:name="_Toc25800"/>
      <w:r>
        <w:rPr>
          <w:sz w:val="28"/>
          <w:szCs w:val="28"/>
        </w:rPr>
        <w:t>（大写）：</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Pr>
          <w:sz w:val="28"/>
          <w:szCs w:val="28"/>
          <w:u w:val="single"/>
        </w:rPr>
        <w:t xml:space="preserve">                          </w:t>
      </w:r>
    </w:p>
    <w:p>
      <w:pPr>
        <w:adjustRightInd w:val="0"/>
        <w:snapToGrid w:val="0"/>
        <w:spacing w:beforeLines="20" w:afterLines="20" w:line="540" w:lineRule="exact"/>
        <w:ind w:firstLine="2800" w:firstLineChars="996"/>
        <w:rPr>
          <w:b/>
          <w:sz w:val="28"/>
          <w:szCs w:val="28"/>
        </w:rPr>
      </w:pPr>
    </w:p>
    <w:p>
      <w:pPr>
        <w:adjustRightInd w:val="0"/>
        <w:snapToGrid w:val="0"/>
        <w:spacing w:beforeLines="20" w:afterLines="20" w:line="540" w:lineRule="exact"/>
        <w:ind w:firstLine="2788" w:firstLineChars="996"/>
        <w:rPr>
          <w:sz w:val="28"/>
          <w:szCs w:val="28"/>
        </w:rPr>
      </w:pPr>
    </w:p>
    <w:p>
      <w:pPr>
        <w:ind w:firstLine="280" w:firstLineChars="100"/>
        <w:rPr>
          <w:sz w:val="28"/>
          <w:szCs w:val="28"/>
        </w:rPr>
      </w:pPr>
      <w:bookmarkStart w:id="873" w:name="_Toc7535"/>
      <w:bookmarkStart w:id="874" w:name="_Toc6867"/>
      <w:bookmarkStart w:id="875" w:name="_Toc30213"/>
      <w:bookmarkStart w:id="876" w:name="_Toc5922"/>
      <w:bookmarkStart w:id="877" w:name="_Toc19110"/>
      <w:bookmarkStart w:id="878" w:name="_Toc25545"/>
      <w:bookmarkStart w:id="879" w:name="_Toc32225"/>
      <w:bookmarkStart w:id="880" w:name="_Toc8067"/>
      <w:bookmarkStart w:id="881" w:name="_Toc4447"/>
      <w:bookmarkStart w:id="882" w:name="_Toc29373"/>
      <w:bookmarkStart w:id="883" w:name="_Toc10190"/>
      <w:bookmarkStart w:id="884" w:name="_Toc1897"/>
      <w:bookmarkStart w:id="885" w:name="_Toc9840"/>
      <w:bookmarkStart w:id="886" w:name="_Toc11221"/>
      <w:bookmarkStart w:id="887" w:name="_Toc19633"/>
      <w:bookmarkStart w:id="888" w:name="_Toc20821"/>
      <w:bookmarkStart w:id="889" w:name="_Toc15411"/>
      <w:bookmarkStart w:id="890" w:name="_Toc4813"/>
      <w:bookmarkStart w:id="891" w:name="_Toc5504"/>
      <w:bookmarkStart w:id="892" w:name="_Toc24131"/>
      <w:r>
        <w:rPr>
          <w:sz w:val="28"/>
          <w:szCs w:val="28"/>
        </w:rPr>
        <w:t>投 标 人：</w:t>
      </w:r>
      <w:r>
        <w:rPr>
          <w:sz w:val="28"/>
          <w:szCs w:val="28"/>
          <w:u w:val="single"/>
        </w:rPr>
        <w:t xml:space="preserve">                          </w:t>
      </w:r>
      <w:r>
        <w:rPr>
          <w:rFonts w:hint="eastAsia"/>
          <w:sz w:val="28"/>
          <w:szCs w:val="28"/>
          <w:u w:val="single"/>
        </w:rPr>
        <w:t>（</w:t>
      </w:r>
      <w:r>
        <w:rPr>
          <w:sz w:val="28"/>
          <w:szCs w:val="28"/>
        </w:rPr>
        <w:t>单位盖章</w:t>
      </w:r>
      <w:r>
        <w:rPr>
          <w:rFonts w:hint="eastAsia"/>
          <w:sz w:val="28"/>
          <w:szCs w:val="28"/>
        </w:rPr>
        <w:t>）</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pPr>
        <w:spacing w:line="380" w:lineRule="exact"/>
        <w:ind w:firstLine="397" w:firstLineChars="142"/>
        <w:rPr>
          <w:sz w:val="28"/>
          <w:szCs w:val="28"/>
        </w:rPr>
      </w:pPr>
    </w:p>
    <w:p>
      <w:pPr>
        <w:ind w:firstLine="280" w:firstLineChars="100"/>
        <w:rPr>
          <w:sz w:val="28"/>
          <w:szCs w:val="28"/>
        </w:rPr>
      </w:pPr>
      <w:bookmarkStart w:id="893" w:name="_Toc585"/>
      <w:bookmarkStart w:id="894" w:name="_Toc9251"/>
      <w:bookmarkStart w:id="895" w:name="_Toc4745"/>
      <w:bookmarkStart w:id="896" w:name="_Toc27602"/>
      <w:bookmarkStart w:id="897" w:name="_Toc29504"/>
      <w:bookmarkStart w:id="898" w:name="_Toc5316"/>
      <w:bookmarkStart w:id="899" w:name="_Toc13780"/>
      <w:bookmarkStart w:id="900" w:name="_Toc27014"/>
      <w:bookmarkStart w:id="901" w:name="_Toc3667"/>
      <w:bookmarkStart w:id="902" w:name="_Toc28030"/>
      <w:bookmarkStart w:id="903" w:name="_Toc32340"/>
      <w:bookmarkStart w:id="904" w:name="_Toc11120"/>
      <w:bookmarkStart w:id="905" w:name="_Toc24719"/>
      <w:bookmarkStart w:id="906" w:name="_Toc9932"/>
      <w:bookmarkStart w:id="907" w:name="_Toc824"/>
      <w:bookmarkStart w:id="908" w:name="_Toc19533"/>
      <w:bookmarkStart w:id="909" w:name="_Toc27962"/>
      <w:bookmarkStart w:id="910" w:name="_Toc27771"/>
      <w:bookmarkStart w:id="911" w:name="_Toc26985"/>
      <w:bookmarkStart w:id="912" w:name="_Toc16881"/>
      <w:r>
        <w:rPr>
          <w:sz w:val="28"/>
          <w:szCs w:val="28"/>
        </w:rPr>
        <w:t>法定代表人</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ind w:firstLine="280" w:firstLineChars="100"/>
        <w:rPr>
          <w:sz w:val="28"/>
          <w:szCs w:val="28"/>
        </w:rPr>
      </w:pPr>
      <w:bookmarkStart w:id="913" w:name="_Toc5668"/>
      <w:bookmarkStart w:id="914" w:name="_Toc1921"/>
      <w:bookmarkStart w:id="915" w:name="_Toc13787"/>
      <w:bookmarkStart w:id="916" w:name="_Toc25485"/>
      <w:bookmarkStart w:id="917" w:name="_Toc16569"/>
      <w:bookmarkStart w:id="918" w:name="_Toc19192"/>
      <w:bookmarkStart w:id="919" w:name="_Toc11293"/>
      <w:bookmarkStart w:id="920" w:name="_Toc29074"/>
      <w:bookmarkStart w:id="921" w:name="_Toc6742"/>
      <w:bookmarkStart w:id="922" w:name="_Toc3274"/>
      <w:bookmarkStart w:id="923" w:name="_Toc17885"/>
      <w:bookmarkStart w:id="924" w:name="_Toc17138"/>
      <w:bookmarkStart w:id="925" w:name="_Toc23449"/>
      <w:bookmarkStart w:id="926" w:name="_Toc21273"/>
      <w:bookmarkStart w:id="927" w:name="_Toc23169"/>
      <w:bookmarkStart w:id="928" w:name="_Toc16629"/>
      <w:bookmarkStart w:id="929" w:name="_Toc25584"/>
      <w:bookmarkStart w:id="930" w:name="_Toc25691"/>
      <w:bookmarkStart w:id="931" w:name="_Toc22420"/>
      <w:bookmarkStart w:id="932" w:name="_Toc26694"/>
      <w:bookmarkStart w:id="933" w:name="_Toc16003"/>
      <w:r>
        <w:rPr>
          <w:sz w:val="28"/>
          <w:szCs w:val="28"/>
        </w:rPr>
        <w:t>或其授权人：</w:t>
      </w:r>
      <w:r>
        <w:rPr>
          <w:sz w:val="28"/>
          <w:szCs w:val="28"/>
          <w:u w:val="single"/>
        </w:rPr>
        <w:t xml:space="preserve">                      </w:t>
      </w:r>
      <w:r>
        <w:rPr>
          <w:sz w:val="28"/>
          <w:szCs w:val="28"/>
        </w:rPr>
        <w:t xml:space="preserve"> </w:t>
      </w:r>
      <w:r>
        <w:rPr>
          <w:rFonts w:hint="eastAsia"/>
          <w:sz w:val="28"/>
          <w:szCs w:val="28"/>
        </w:rPr>
        <w:t>（</w:t>
      </w:r>
      <w:r>
        <w:rPr>
          <w:sz w:val="28"/>
          <w:szCs w:val="28"/>
        </w:rPr>
        <w:t>签字或盖章</w:t>
      </w:r>
      <w:r>
        <w:rPr>
          <w:rFonts w:hint="eastAsia"/>
          <w:sz w:val="28"/>
          <w:szCs w:val="28"/>
        </w:rPr>
        <w:t>）</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spacing w:line="320" w:lineRule="exact"/>
        <w:ind w:firstLine="397" w:firstLineChars="142"/>
        <w:rPr>
          <w:sz w:val="28"/>
          <w:szCs w:val="28"/>
        </w:rPr>
      </w:pPr>
    </w:p>
    <w:p>
      <w:pPr>
        <w:spacing w:line="320" w:lineRule="exact"/>
        <w:ind w:firstLine="397" w:firstLineChars="142"/>
        <w:rPr>
          <w:sz w:val="28"/>
          <w:szCs w:val="28"/>
        </w:rPr>
      </w:pPr>
    </w:p>
    <w:p>
      <w:pPr>
        <w:ind w:firstLine="280" w:firstLineChars="100"/>
        <w:rPr>
          <w:sz w:val="28"/>
          <w:szCs w:val="28"/>
        </w:rPr>
      </w:pPr>
      <w:bookmarkStart w:id="934" w:name="_Toc24742"/>
      <w:bookmarkStart w:id="935" w:name="_Toc4186"/>
      <w:bookmarkStart w:id="936" w:name="_Toc14953"/>
      <w:bookmarkStart w:id="937" w:name="_Toc10911"/>
      <w:bookmarkStart w:id="938" w:name="_Toc11349"/>
      <w:bookmarkStart w:id="939" w:name="_Toc1257"/>
      <w:bookmarkStart w:id="940" w:name="_Toc21135"/>
      <w:bookmarkStart w:id="941" w:name="_Toc24135"/>
      <w:bookmarkStart w:id="942" w:name="_Toc25753"/>
      <w:bookmarkStart w:id="943" w:name="_Toc18051"/>
      <w:bookmarkStart w:id="944" w:name="_Toc6713"/>
      <w:bookmarkStart w:id="945" w:name="_Toc24709"/>
      <w:bookmarkStart w:id="946" w:name="_Toc19097"/>
      <w:bookmarkStart w:id="947" w:name="_Toc111"/>
      <w:bookmarkStart w:id="948" w:name="_Toc6708"/>
      <w:bookmarkStart w:id="949" w:name="_Toc4411"/>
      <w:bookmarkStart w:id="950" w:name="_Toc4910"/>
      <w:bookmarkStart w:id="951" w:name="_Toc16738"/>
      <w:bookmarkStart w:id="952" w:name="_Toc3398"/>
      <w:bookmarkStart w:id="953" w:name="_Toc32188"/>
      <w:r>
        <w:rPr>
          <w:sz w:val="28"/>
          <w:szCs w:val="28"/>
        </w:rPr>
        <w:t>编制人：</w:t>
      </w:r>
      <w:r>
        <w:rPr>
          <w:sz w:val="28"/>
          <w:szCs w:val="28"/>
          <w:u w:val="single"/>
        </w:rPr>
        <w:t xml:space="preserve">           </w:t>
      </w:r>
      <w:r>
        <w:rPr>
          <w:rFonts w:hint="eastAsia"/>
          <w:sz w:val="28"/>
          <w:szCs w:val="28"/>
          <w:u w:val="single"/>
        </w:rPr>
        <w:t>（</w:t>
      </w:r>
      <w:r>
        <w:rPr>
          <w:sz w:val="28"/>
          <w:szCs w:val="28"/>
        </w:rPr>
        <w:t>盖造价专业人员执业专用章或电子执业章</w:t>
      </w:r>
      <w:r>
        <w:rPr>
          <w:rFonts w:hint="eastAsia"/>
          <w:sz w:val="28"/>
          <w:szCs w:val="28"/>
        </w:rPr>
        <w:t>）</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spacing w:line="380" w:lineRule="exact"/>
        <w:ind w:firstLine="560"/>
        <w:rPr>
          <w:sz w:val="28"/>
          <w:szCs w:val="28"/>
        </w:rPr>
      </w:pPr>
    </w:p>
    <w:p>
      <w:pPr>
        <w:spacing w:line="380" w:lineRule="exact"/>
        <w:ind w:firstLine="560"/>
        <w:rPr>
          <w:sz w:val="28"/>
          <w:szCs w:val="28"/>
        </w:rPr>
      </w:pPr>
    </w:p>
    <w:p>
      <w:pPr>
        <w:ind w:firstLine="280" w:firstLineChars="100"/>
        <w:rPr>
          <w:sz w:val="28"/>
          <w:szCs w:val="28"/>
        </w:rPr>
      </w:pPr>
      <w:bookmarkStart w:id="954" w:name="_Toc10264"/>
      <w:bookmarkStart w:id="955" w:name="_Toc25110"/>
      <w:bookmarkStart w:id="956" w:name="_Toc6997"/>
      <w:bookmarkStart w:id="957" w:name="_Toc17184"/>
      <w:bookmarkStart w:id="958" w:name="_Toc12641"/>
      <w:bookmarkStart w:id="959" w:name="_Toc20338"/>
      <w:bookmarkStart w:id="960" w:name="_Toc4795"/>
      <w:bookmarkStart w:id="961" w:name="_Toc6300"/>
      <w:bookmarkStart w:id="962" w:name="_Toc17036"/>
      <w:bookmarkStart w:id="963" w:name="_Toc11798"/>
      <w:bookmarkStart w:id="964" w:name="_Toc668"/>
      <w:bookmarkStart w:id="965" w:name="_Toc25410"/>
      <w:bookmarkStart w:id="966" w:name="_Toc18438"/>
      <w:bookmarkStart w:id="967" w:name="_Toc2217"/>
      <w:bookmarkStart w:id="968" w:name="_Toc6377"/>
      <w:bookmarkStart w:id="969" w:name="_Toc15499"/>
      <w:bookmarkStart w:id="970" w:name="_Toc6865"/>
      <w:bookmarkStart w:id="971" w:name="_Toc8593"/>
      <w:bookmarkStart w:id="972" w:name="_Toc32472"/>
      <w:bookmarkStart w:id="973" w:name="_Toc12273"/>
      <w:bookmarkStart w:id="974" w:name="_Toc8505"/>
      <w:r>
        <w:rPr>
          <w:sz w:val="28"/>
          <w:szCs w:val="28"/>
        </w:rPr>
        <w:t>编制时间：</w:t>
      </w:r>
      <w:r>
        <w:rPr>
          <w:sz w:val="24"/>
          <w:u w:val="single"/>
        </w:rPr>
        <w:t xml:space="preserve">      </w:t>
      </w:r>
      <w:r>
        <w:rPr>
          <w:sz w:val="28"/>
          <w:szCs w:val="28"/>
        </w:rPr>
        <w:t>年</w:t>
      </w:r>
      <w:r>
        <w:rPr>
          <w:sz w:val="24"/>
          <w:u w:val="single"/>
        </w:rPr>
        <w:t xml:space="preserve">      </w:t>
      </w:r>
      <w:r>
        <w:rPr>
          <w:sz w:val="28"/>
          <w:szCs w:val="28"/>
        </w:rPr>
        <w:t>月</w:t>
      </w:r>
      <w:r>
        <w:rPr>
          <w:sz w:val="24"/>
          <w:u w:val="single"/>
        </w:rPr>
        <w:t xml:space="preserve">      </w:t>
      </w:r>
      <w:r>
        <w:rPr>
          <w:sz w:val="28"/>
          <w:szCs w:val="28"/>
        </w:rPr>
        <w:t>日</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pPr>
        <w:spacing w:beforeLines="100" w:afterLines="100"/>
        <w:ind w:firstLine="0" w:firstLineChars="0"/>
        <w:jc w:val="center"/>
        <w:outlineLvl w:val="3"/>
        <w:rPr>
          <w:sz w:val="24"/>
        </w:rPr>
      </w:pPr>
      <w:r>
        <w:rPr>
          <w:sz w:val="28"/>
          <w:szCs w:val="28"/>
        </w:rPr>
        <w:br w:type="page"/>
      </w:r>
      <w:bookmarkStart w:id="975" w:name="_Toc14695"/>
      <w:r>
        <w:rPr>
          <w:rFonts w:hint="eastAsia" w:ascii="黑体" w:hAnsi="黑体" w:eastAsia="黑体" w:cs="黑体"/>
          <w:sz w:val="24"/>
        </w:rPr>
        <w:t>（二）已标价工程量清单</w:t>
      </w:r>
      <w:bookmarkEnd w:id="975"/>
    </w:p>
    <w:p>
      <w:pPr>
        <w:spacing w:line="360" w:lineRule="auto"/>
        <w:ind w:firstLine="0" w:firstLineChars="0"/>
        <w:rPr>
          <w:sz w:val="24"/>
        </w:rPr>
      </w:pPr>
      <w:bookmarkStart w:id="976" w:name="_Toc171581557"/>
      <w:bookmarkStart w:id="977" w:name="_Toc17215716"/>
      <w:bookmarkStart w:id="978" w:name="_Toc171581377"/>
      <w:bookmarkStart w:id="979" w:name="_Toc171742000"/>
      <w:bookmarkStart w:id="980" w:name="_Toc44996378"/>
      <w:r>
        <w:rPr>
          <w:sz w:val="24"/>
        </w:rPr>
        <w:br w:type="page"/>
      </w:r>
    </w:p>
    <w:p>
      <w:pPr>
        <w:spacing w:beforeLines="100" w:afterLines="100"/>
        <w:ind w:firstLine="0" w:firstLineChars="0"/>
        <w:jc w:val="center"/>
        <w:outlineLvl w:val="3"/>
        <w:rPr>
          <w:rFonts w:ascii="黑体" w:hAnsi="黑体" w:eastAsia="黑体" w:cs="黑体"/>
          <w:sz w:val="24"/>
        </w:rPr>
      </w:pPr>
      <w:r>
        <w:rPr>
          <w:rFonts w:hint="eastAsia" w:ascii="黑体" w:hAnsi="黑体" w:eastAsia="黑体" w:cs="黑体"/>
          <w:sz w:val="24"/>
        </w:rPr>
        <w:t>（三）异常低价评审表（如有）</w:t>
      </w:r>
    </w:p>
    <w:tbl>
      <w:tblPr>
        <w:tblStyle w:val="56"/>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sz w:val="24"/>
              </w:rPr>
            </w:pPr>
            <w:r>
              <w:rPr>
                <w:rFonts w:hint="eastAsia"/>
                <w:sz w:val="24"/>
              </w:rPr>
              <w:t>（第100章、第200章......）降低工程造价的说明</w:t>
            </w:r>
          </w:p>
        </w:tc>
        <w:tc>
          <w:tcPr>
            <w:tcW w:w="4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sz w:val="24"/>
              </w:rPr>
            </w:pPr>
            <w:r>
              <w:rPr>
                <w:rFonts w:hint="eastAsia"/>
                <w:sz w:val="24"/>
              </w:rPr>
              <w:t>承诺</w:t>
            </w:r>
          </w:p>
        </w:tc>
        <w:tc>
          <w:tcPr>
            <w:tcW w:w="4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sz w:val="24"/>
              </w:rPr>
            </w:pPr>
            <w:r>
              <w:rPr>
                <w:rFonts w:hint="eastAsia"/>
                <w:sz w:val="24"/>
              </w:rPr>
              <w:t>1.我公司对该表提供的内容及相关材料均属实；</w:t>
            </w:r>
          </w:p>
          <w:p>
            <w:pPr>
              <w:spacing w:line="360" w:lineRule="auto"/>
              <w:ind w:firstLine="0" w:firstLineChars="0"/>
              <w:rPr>
                <w:sz w:val="24"/>
              </w:rPr>
            </w:pPr>
            <w:r>
              <w:rPr>
                <w:rFonts w:hint="eastAsia"/>
                <w:sz w:val="24"/>
              </w:rPr>
              <w:t>2.我公司承诺没有招标文件约定的降低投标报价的禁止情形。</w:t>
            </w:r>
          </w:p>
          <w:p>
            <w:pPr>
              <w:spacing w:line="360" w:lineRule="auto"/>
              <w:ind w:firstLine="0" w:firstLineChars="0"/>
              <w:rPr>
                <w:sz w:val="24"/>
              </w:rPr>
            </w:pPr>
            <w:r>
              <w:rPr>
                <w:rFonts w:hint="eastAsia"/>
                <w:sz w:val="24"/>
              </w:rPr>
              <w:t>3.我公司承诺具备合同履行能力及工程质量安全控制能力。</w:t>
            </w:r>
          </w:p>
        </w:tc>
      </w:tr>
    </w:tbl>
    <w:p>
      <w:pPr>
        <w:adjustRightInd w:val="0"/>
        <w:snapToGrid w:val="0"/>
        <w:spacing w:line="360" w:lineRule="auto"/>
        <w:ind w:firstLine="960"/>
        <w:jc w:val="right"/>
        <w:rPr>
          <w:bCs/>
          <w:spacing w:val="120"/>
          <w:kern w:val="0"/>
          <w:sz w:val="24"/>
          <w:szCs w:val="21"/>
        </w:rPr>
      </w:pPr>
    </w:p>
    <w:p>
      <w:pPr>
        <w:adjustRightInd w:val="0"/>
        <w:snapToGrid w:val="0"/>
        <w:spacing w:line="360" w:lineRule="auto"/>
        <w:ind w:firstLine="960"/>
        <w:jc w:val="right"/>
        <w:rPr>
          <w:bCs/>
          <w:sz w:val="24"/>
          <w:szCs w:val="21"/>
          <w:u w:val="single"/>
        </w:rPr>
      </w:pPr>
      <w:r>
        <w:rPr>
          <w:rFonts w:hint="eastAsia"/>
          <w:bCs/>
          <w:spacing w:val="120"/>
          <w:kern w:val="0"/>
          <w:sz w:val="24"/>
          <w:szCs w:val="21"/>
          <w:fitText w:val="1200" w:id="-1231308542"/>
        </w:rPr>
        <w:t>投标</w:t>
      </w:r>
      <w:r>
        <w:rPr>
          <w:rFonts w:hint="eastAsia"/>
          <w:bCs/>
          <w:spacing w:val="0"/>
          <w:kern w:val="0"/>
          <w:sz w:val="24"/>
          <w:szCs w:val="21"/>
          <w:fitText w:val="1200" w:id="-1231308542"/>
        </w:rPr>
        <w:t>人</w:t>
      </w:r>
      <w:r>
        <w:rPr>
          <w:rFonts w:hint="eastAsia"/>
          <w:bCs/>
          <w:sz w:val="24"/>
          <w:szCs w:val="21"/>
        </w:rPr>
        <w:t>：</w:t>
      </w:r>
      <w:r>
        <w:rPr>
          <w:rFonts w:hint="eastAsia"/>
          <w:bCs/>
          <w:sz w:val="24"/>
          <w:szCs w:val="21"/>
          <w:u w:val="single"/>
        </w:rPr>
        <w:t xml:space="preserve">            </w:t>
      </w:r>
      <w:r>
        <w:rPr>
          <w:rFonts w:hint="eastAsia"/>
          <w:bCs/>
          <w:sz w:val="24"/>
          <w:szCs w:val="21"/>
        </w:rPr>
        <w:t>（盖单位章）</w:t>
      </w:r>
    </w:p>
    <w:p>
      <w:pPr>
        <w:adjustRightInd w:val="0"/>
        <w:snapToGrid w:val="0"/>
        <w:spacing w:line="360" w:lineRule="auto"/>
        <w:ind w:firstLine="1920"/>
        <w:jc w:val="right"/>
        <w:rPr>
          <w:rFonts w:eastAsia="黑体"/>
          <w:sz w:val="28"/>
          <w:szCs w:val="28"/>
        </w:rPr>
      </w:pPr>
      <w:r>
        <w:rPr>
          <w:rFonts w:hint="eastAsia"/>
          <w:bCs/>
          <w:spacing w:val="360"/>
          <w:kern w:val="0"/>
          <w:sz w:val="24"/>
          <w:szCs w:val="21"/>
          <w:fitText w:val="1200" w:id="-1231308541"/>
        </w:rPr>
        <w:t>日</w:t>
      </w:r>
      <w:r>
        <w:rPr>
          <w:rFonts w:hint="eastAsia"/>
          <w:bCs/>
          <w:spacing w:val="0"/>
          <w:kern w:val="0"/>
          <w:sz w:val="24"/>
          <w:szCs w:val="21"/>
          <w:fitText w:val="1200" w:id="-1231308541"/>
        </w:rPr>
        <w:t>期</w:t>
      </w:r>
      <w:r>
        <w:rPr>
          <w:rFonts w:hint="eastAsia"/>
          <w:sz w:val="24"/>
          <w:szCs w:val="21"/>
        </w:rPr>
        <w:t>：</w:t>
      </w:r>
      <w:r>
        <w:rPr>
          <w:rFonts w:hint="eastAsia"/>
          <w:sz w:val="24"/>
          <w:szCs w:val="21"/>
          <w:u w:val="single"/>
        </w:rPr>
        <w:t xml:space="preserve">       </w:t>
      </w:r>
      <w:r>
        <w:rPr>
          <w:rFonts w:hint="eastAsia"/>
          <w:sz w:val="24"/>
          <w:szCs w:val="21"/>
        </w:rPr>
        <w:t>年</w:t>
      </w:r>
      <w:r>
        <w:rPr>
          <w:rFonts w:hint="eastAsia"/>
          <w:sz w:val="24"/>
          <w:szCs w:val="21"/>
          <w:u w:val="single"/>
        </w:rPr>
        <w:t xml:space="preserve">     </w:t>
      </w:r>
      <w:r>
        <w:rPr>
          <w:rFonts w:hint="eastAsia"/>
          <w:sz w:val="24"/>
          <w:szCs w:val="21"/>
        </w:rPr>
        <w:t>月</w:t>
      </w:r>
      <w:r>
        <w:rPr>
          <w:rFonts w:hint="eastAsia"/>
          <w:sz w:val="24"/>
          <w:szCs w:val="21"/>
          <w:u w:val="single"/>
        </w:rPr>
        <w:t xml:space="preserve">      </w:t>
      </w:r>
      <w:r>
        <w:rPr>
          <w:rFonts w:hint="eastAsia"/>
          <w:sz w:val="24"/>
          <w:szCs w:val="21"/>
        </w:rPr>
        <w:t>日</w:t>
      </w:r>
    </w:p>
    <w:p>
      <w:pPr>
        <w:autoSpaceDE w:val="0"/>
        <w:autoSpaceDN w:val="0"/>
        <w:adjustRightInd w:val="0"/>
        <w:snapToGrid w:val="0"/>
        <w:spacing w:line="360" w:lineRule="auto"/>
        <w:ind w:firstLine="0" w:firstLineChars="0"/>
        <w:jc w:val="left"/>
        <w:rPr>
          <w:rFonts w:ascii="宋体" w:hAnsi="宋体" w:cs="宋体"/>
          <w:bCs/>
          <w:sz w:val="24"/>
        </w:rPr>
      </w:pPr>
      <w:r>
        <w:rPr>
          <w:rFonts w:hint="eastAsia" w:ascii="宋体" w:hAnsi="宋体" w:cs="宋体"/>
          <w:bCs/>
          <w:sz w:val="24"/>
        </w:rPr>
        <w:t xml:space="preserve">注： </w:t>
      </w:r>
    </w:p>
    <w:p>
      <w:pPr>
        <w:adjustRightInd w:val="0"/>
        <w:snapToGrid w:val="0"/>
        <w:spacing w:line="360" w:lineRule="auto"/>
        <w:ind w:firstLine="0" w:firstLineChars="0"/>
        <w:jc w:val="left"/>
        <w:rPr>
          <w:rFonts w:ascii="宋体" w:hAnsi="宋体" w:cs="宋体"/>
          <w:bCs/>
          <w:sz w:val="24"/>
        </w:rPr>
      </w:pPr>
      <w:r>
        <w:rPr>
          <w:rFonts w:hint="eastAsia" w:ascii="宋体" w:hAnsi="宋体" w:cs="宋体"/>
          <w:bCs/>
          <w:sz w:val="24"/>
        </w:rPr>
        <w:t>1.投标人根据其投标报价情况，确定是否提供；</w:t>
      </w:r>
    </w:p>
    <w:p>
      <w:pPr>
        <w:adjustRightInd w:val="0"/>
        <w:snapToGrid w:val="0"/>
        <w:spacing w:line="360" w:lineRule="auto"/>
        <w:ind w:firstLine="0" w:firstLineChars="0"/>
        <w:rPr>
          <w:rFonts w:ascii="宋体" w:hAnsi="宋体" w:cs="宋体"/>
          <w:bCs/>
          <w:sz w:val="24"/>
        </w:rPr>
      </w:pPr>
      <w:r>
        <w:rPr>
          <w:rFonts w:hint="eastAsia" w:ascii="宋体" w:hAnsi="宋体" w:cs="宋体"/>
          <w:bCs/>
          <w:sz w:val="24"/>
        </w:rPr>
        <w:t>2.此表格后附异常低价评审的相关证明材料；</w:t>
      </w:r>
    </w:p>
    <w:p>
      <w:pPr>
        <w:adjustRightInd w:val="0"/>
        <w:snapToGrid w:val="0"/>
        <w:spacing w:line="360" w:lineRule="auto"/>
        <w:ind w:firstLine="0" w:firstLineChars="0"/>
        <w:rPr>
          <w:rFonts w:ascii="宋体" w:hAnsi="宋体" w:cs="宋体"/>
          <w:bCs/>
          <w:sz w:val="24"/>
        </w:rPr>
      </w:pPr>
      <w:r>
        <w:rPr>
          <w:rFonts w:hint="eastAsia" w:ascii="宋体" w:hAnsi="宋体" w:cs="宋体"/>
          <w:bCs/>
          <w:sz w:val="24"/>
        </w:rPr>
        <w:t>3.每个章节独立制表；</w:t>
      </w:r>
    </w:p>
    <w:p>
      <w:pPr>
        <w:adjustRightInd w:val="0"/>
        <w:snapToGrid w:val="0"/>
        <w:spacing w:line="360" w:lineRule="auto"/>
        <w:ind w:firstLine="0" w:firstLineChars="0"/>
        <w:rPr>
          <w:rFonts w:ascii="宋体" w:hAnsi="宋体" w:cs="宋体"/>
          <w:bCs/>
          <w:sz w:val="24"/>
        </w:rPr>
      </w:pPr>
      <w:r>
        <w:rPr>
          <w:rFonts w:hint="eastAsia" w:ascii="宋体" w:hAnsi="宋体" w:cs="宋体"/>
          <w:bCs/>
          <w:sz w:val="24"/>
        </w:rPr>
        <w:t>4.</w:t>
      </w:r>
      <w:r>
        <w:rPr>
          <w:rFonts w:hint="eastAsia" w:cs="仿宋"/>
          <w:bCs/>
          <w:sz w:val="24"/>
          <w:szCs w:val="18"/>
        </w:rPr>
        <w:t>若投标人提供的相关资料与承诺不符，招标人有权取消其中标（或中标候选）资格，并报公共资源交易监督管理部门。</w:t>
      </w:r>
    </w:p>
    <w:p>
      <w:pPr>
        <w:spacing w:line="360" w:lineRule="auto"/>
        <w:ind w:firstLine="0" w:firstLineChars="0"/>
        <w:jc w:val="center"/>
        <w:rPr>
          <w:sz w:val="24"/>
        </w:rPr>
      </w:pPr>
      <w:bookmarkStart w:id="981" w:name="_Toc535241145"/>
      <w:bookmarkStart w:id="982" w:name="_Toc460660254"/>
      <w:bookmarkStart w:id="983" w:name="_Toc460227139"/>
      <w:r>
        <w:rPr>
          <w:sz w:val="24"/>
        </w:rPr>
        <w:br w:type="page"/>
      </w:r>
    </w:p>
    <w:p>
      <w:pPr>
        <w:spacing w:line="360" w:lineRule="auto"/>
        <w:ind w:firstLine="0" w:firstLineChars="0"/>
        <w:jc w:val="center"/>
        <w:rPr>
          <w:rFonts w:ascii="黑体" w:hAnsi="黑体" w:eastAsia="黑体" w:cs="黑体"/>
          <w:sz w:val="24"/>
        </w:rPr>
      </w:pPr>
      <w:bookmarkStart w:id="984" w:name="_Toc31523"/>
      <w:r>
        <w:rPr>
          <w:rFonts w:hint="eastAsia" w:ascii="黑体" w:hAnsi="黑体" w:eastAsia="黑体" w:cs="黑体"/>
          <w:sz w:val="24"/>
        </w:rPr>
        <w:t>（四）其他材料</w:t>
      </w:r>
      <w:bookmarkEnd w:id="976"/>
      <w:bookmarkEnd w:id="977"/>
      <w:bookmarkEnd w:id="978"/>
      <w:bookmarkEnd w:id="979"/>
      <w:bookmarkEnd w:id="980"/>
      <w:bookmarkEnd w:id="981"/>
      <w:bookmarkEnd w:id="982"/>
      <w:bookmarkEnd w:id="983"/>
      <w:bookmarkEnd w:id="984"/>
    </w:p>
    <w:p>
      <w:pPr>
        <w:spacing w:line="360" w:lineRule="auto"/>
        <w:ind w:firstLine="0" w:firstLineChars="0"/>
        <w:jc w:val="center"/>
        <w:rPr>
          <w:sz w:val="24"/>
        </w:rPr>
      </w:pPr>
    </w:p>
    <w:p>
      <w:pPr>
        <w:spacing w:line="360" w:lineRule="auto"/>
        <w:ind w:firstLine="0" w:firstLineChars="0"/>
        <w:jc w:val="left"/>
        <w:rPr>
          <w:bCs/>
          <w:sz w:val="24"/>
        </w:rPr>
      </w:pPr>
      <w:r>
        <w:rPr>
          <w:bCs/>
          <w:sz w:val="24"/>
        </w:rPr>
        <w:t>包括但不限于下列内容：</w:t>
      </w:r>
    </w:p>
    <w:p>
      <w:pPr>
        <w:spacing w:line="360" w:lineRule="auto"/>
        <w:ind w:firstLine="0" w:firstLineChars="0"/>
        <w:rPr>
          <w:sz w:val="24"/>
        </w:rPr>
      </w:pPr>
      <w:bookmarkStart w:id="985" w:name="_Toc28019"/>
      <w:r>
        <w:rPr>
          <w:sz w:val="24"/>
        </w:rPr>
        <w:t>（1）投标预算书：</w:t>
      </w:r>
      <w:bookmarkEnd w:id="985"/>
    </w:p>
    <w:p>
      <w:pPr>
        <w:spacing w:line="360" w:lineRule="auto"/>
        <w:ind w:firstLine="0" w:firstLineChars="0"/>
        <w:jc w:val="left"/>
        <w:rPr>
          <w:sz w:val="24"/>
        </w:rPr>
      </w:pPr>
      <w:bookmarkStart w:id="986" w:name="_Hlk24480661"/>
      <w:r>
        <w:rPr>
          <w:rFonts w:hint="eastAsia" w:ascii="宋体" w:hAnsi="宋体" w:cs="宋体"/>
          <w:sz w:val="24"/>
        </w:rPr>
        <w:t>①</w:t>
      </w:r>
      <w:r>
        <w:rPr>
          <w:sz w:val="24"/>
        </w:rPr>
        <w:t>人工、材料、施工机械台班单价汇总表；</w:t>
      </w:r>
    </w:p>
    <w:p>
      <w:pPr>
        <w:spacing w:line="360" w:lineRule="auto"/>
        <w:ind w:firstLine="0" w:firstLineChars="0"/>
        <w:jc w:val="left"/>
        <w:rPr>
          <w:sz w:val="24"/>
        </w:rPr>
      </w:pPr>
      <w:r>
        <w:rPr>
          <w:rFonts w:hint="eastAsia" w:ascii="宋体" w:hAnsi="宋体" w:cs="宋体"/>
          <w:sz w:val="24"/>
        </w:rPr>
        <w:t>②</w:t>
      </w:r>
      <w:r>
        <w:rPr>
          <w:sz w:val="24"/>
        </w:rPr>
        <w:t>人工、主要材料、施工机械台班数量汇总表；</w:t>
      </w:r>
    </w:p>
    <w:p>
      <w:pPr>
        <w:spacing w:line="360" w:lineRule="auto"/>
        <w:ind w:firstLine="0" w:firstLineChars="0"/>
        <w:jc w:val="left"/>
        <w:rPr>
          <w:sz w:val="24"/>
        </w:rPr>
      </w:pPr>
      <w:r>
        <w:rPr>
          <w:rFonts w:hint="eastAsia" w:ascii="宋体" w:hAnsi="宋体" w:cs="宋体"/>
          <w:sz w:val="24"/>
        </w:rPr>
        <w:t>③</w:t>
      </w:r>
      <w:r>
        <w:rPr>
          <w:sz w:val="24"/>
        </w:rPr>
        <w:t>建筑安装工程费计算表；</w:t>
      </w:r>
    </w:p>
    <w:p>
      <w:pPr>
        <w:spacing w:line="360" w:lineRule="auto"/>
        <w:ind w:firstLine="0" w:firstLineChars="0"/>
        <w:jc w:val="left"/>
        <w:rPr>
          <w:sz w:val="24"/>
        </w:rPr>
      </w:pPr>
      <w:r>
        <w:rPr>
          <w:rFonts w:hint="eastAsia" w:ascii="宋体" w:hAnsi="宋体" w:cs="宋体"/>
          <w:sz w:val="24"/>
        </w:rPr>
        <w:t>④</w:t>
      </w:r>
      <w:r>
        <w:rPr>
          <w:sz w:val="24"/>
        </w:rPr>
        <w:t>综合费率计算表；</w:t>
      </w:r>
    </w:p>
    <w:p>
      <w:pPr>
        <w:spacing w:line="360" w:lineRule="auto"/>
        <w:ind w:firstLine="0" w:firstLineChars="0"/>
        <w:jc w:val="left"/>
        <w:rPr>
          <w:sz w:val="24"/>
        </w:rPr>
      </w:pPr>
      <w:r>
        <w:rPr>
          <w:rFonts w:hint="eastAsia" w:ascii="宋体" w:hAnsi="宋体" w:cs="宋体"/>
          <w:sz w:val="24"/>
        </w:rPr>
        <w:t>⑤</w:t>
      </w:r>
      <w:r>
        <w:rPr>
          <w:sz w:val="24"/>
        </w:rPr>
        <w:t>施工机械台班单价计算表；</w:t>
      </w:r>
    </w:p>
    <w:p>
      <w:pPr>
        <w:spacing w:line="360" w:lineRule="auto"/>
        <w:ind w:firstLine="0" w:firstLineChars="0"/>
        <w:jc w:val="left"/>
        <w:rPr>
          <w:sz w:val="24"/>
        </w:rPr>
      </w:pPr>
      <w:r>
        <w:rPr>
          <w:rFonts w:hint="eastAsia" w:ascii="宋体" w:hAnsi="宋体" w:cs="宋体"/>
          <w:sz w:val="24"/>
        </w:rPr>
        <w:t>⑥</w:t>
      </w:r>
      <w:r>
        <w:rPr>
          <w:sz w:val="24"/>
        </w:rPr>
        <w:t>分项工程预算表。</w:t>
      </w:r>
      <w:bookmarkEnd w:id="986"/>
    </w:p>
    <w:p>
      <w:pPr>
        <w:spacing w:line="360" w:lineRule="auto"/>
        <w:ind w:firstLine="0" w:firstLineChars="0"/>
        <w:rPr>
          <w:sz w:val="24"/>
        </w:rPr>
      </w:pPr>
      <w:bookmarkStart w:id="987" w:name="_Toc677"/>
      <w:r>
        <w:rPr>
          <w:sz w:val="24"/>
        </w:rPr>
        <w:t>（2）招标人要求提供的其他材料。</w:t>
      </w:r>
      <w:bookmarkEnd w:id="987"/>
    </w:p>
    <w:p>
      <w:pPr>
        <w:spacing w:line="360" w:lineRule="auto"/>
        <w:ind w:firstLine="0" w:firstLineChars="0"/>
        <w:rPr>
          <w:sz w:val="24"/>
        </w:rPr>
      </w:pPr>
    </w:p>
    <w:p>
      <w:pPr>
        <w:spacing w:line="360" w:lineRule="auto"/>
        <w:ind w:firstLine="420"/>
        <w:jc w:val="left"/>
        <w:rPr>
          <w:rFonts w:cs="仿宋"/>
          <w:bCs/>
          <w:szCs w:val="18"/>
        </w:rPr>
      </w:pPr>
    </w:p>
    <w:p>
      <w:pPr>
        <w:spacing w:line="360" w:lineRule="auto"/>
        <w:ind w:firstLine="420"/>
        <w:jc w:val="left"/>
        <w:rPr>
          <w:szCs w:val="21"/>
        </w:rPr>
      </w:pPr>
    </w:p>
    <w:p>
      <w:pPr>
        <w:keepNext/>
        <w:keepLines/>
        <w:spacing w:beforeLines="50" w:afterLines="50"/>
        <w:ind w:firstLine="0" w:firstLineChars="0"/>
        <w:outlineLvl w:val="1"/>
        <w:rPr>
          <w:szCs w:val="21"/>
        </w:rPr>
      </w:pPr>
    </w:p>
    <w:p>
      <w:pPr>
        <w:ind w:firstLine="0" w:firstLineChars="0"/>
        <w:jc w:val="center"/>
        <w:rPr>
          <w:rFonts w:eastAsia="黑体"/>
          <w:sz w:val="32"/>
          <w:szCs w:val="32"/>
        </w:rPr>
      </w:pPr>
    </w:p>
    <w:sectPr>
      <w:headerReference r:id="rId19" w:type="default"/>
      <w:footnotePr>
        <w:numFmt w:val="decimalEnclosedCircleChinese"/>
        <w:numRestart w:val="eachPage"/>
      </w:footnotePr>
      <w:pgSz w:w="11907" w:h="16840"/>
      <w:pgMar w:top="1588" w:right="1559" w:bottom="1474" w:left="1644"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p>
  </w:endnote>
  <w:endnote w:type="continuationSeparator" w:id="1">
    <w:p>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86"/>
    <w:family w:val="auto"/>
    <w:pitch w:val="default"/>
    <w:sig w:usb0="00000000" w:usb1="00000000" w:usb2="00000010" w:usb3="00000000" w:csb0="0004000A"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r>
      <w:rPr>
        <w:sz w:val="18"/>
      </w:rPr>
      <w:pict>
        <v:shape id="_x0000_s35843" o:spid="_x0000_s3584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r>
      <w:rPr>
        <w:sz w:val="18"/>
      </w:rPr>
      <w:pict>
        <v:shape id="_x0000_s35844" o:spid="_x0000_s3584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4"/>
                  <w:ind w:firstLine="360"/>
                  <w:rPr>
                    <w:rStyle w:val="61"/>
                  </w:rPr>
                </w:pPr>
                <w:r>
                  <w:rPr>
                    <w:rStyle w:val="61"/>
                  </w:rPr>
                  <w:fldChar w:fldCharType="begin"/>
                </w:r>
                <w:r>
                  <w:rPr>
                    <w:rStyle w:val="61"/>
                  </w:rPr>
                  <w:instrText xml:space="preserve">PAGE  </w:instrText>
                </w:r>
                <w:r>
                  <w:rPr>
                    <w:rStyle w:val="61"/>
                  </w:rPr>
                  <w:fldChar w:fldCharType="separate"/>
                </w:r>
                <w:r>
                  <w:rPr>
                    <w:rStyle w:val="61"/>
                  </w:rPr>
                  <w:t>17</w:t>
                </w:r>
                <w:r>
                  <w:rPr>
                    <w:rStyle w:val="61"/>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ind w:firstLine="360"/>
      <w:rPr>
        <w:rStyle w:val="61"/>
      </w:rPr>
    </w:pPr>
    <w:r>
      <w:fldChar w:fldCharType="begin"/>
    </w:r>
    <w:r>
      <w:rPr>
        <w:rStyle w:val="61"/>
      </w:rPr>
      <w:instrText xml:space="preserve">PAGE  </w:instrText>
    </w:r>
    <w:r>
      <w:fldChar w:fldCharType="separate"/>
    </w:r>
    <w:r>
      <w:rPr>
        <w:rStyle w:val="61"/>
      </w:rPr>
      <w:t>1</w:t>
    </w:r>
    <w:r>
      <w:fldChar w:fldCharType="end"/>
    </w:r>
  </w:p>
  <w:p>
    <w:pPr>
      <w:pStyle w:val="3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0" w:firstLineChars="0"/>
    </w:pPr>
    <w:r>
      <w:pict>
        <v:shape id="_x0000_s35842" o:spid="_x0000_s3584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4"/>
                  <w:ind w:firstLine="48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145</w:t>
                </w:r>
                <w:r>
                  <w:rPr>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r>
      <w:rPr>
        <w:sz w:val="18"/>
      </w:rPr>
      <w:pict>
        <v:shape id="_x0000_s35845" o:spid="_x0000_s3584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4"/>
                  <w:ind w:firstLine="360"/>
                  <w:rPr>
                    <w:rStyle w:val="61"/>
                  </w:rPr>
                </w:pPr>
                <w:r>
                  <w:rPr>
                    <w:rStyle w:val="61"/>
                  </w:rPr>
                  <w:fldChar w:fldCharType="begin"/>
                </w:r>
                <w:r>
                  <w:rPr>
                    <w:rStyle w:val="61"/>
                  </w:rPr>
                  <w:instrText xml:space="preserve">PAGE  </w:instrText>
                </w:r>
                <w:r>
                  <w:rPr>
                    <w:rStyle w:val="61"/>
                  </w:rPr>
                  <w:fldChar w:fldCharType="separate"/>
                </w:r>
                <w:r>
                  <w:rPr>
                    <w:rStyle w:val="61"/>
                  </w:rPr>
                  <w:t>158</w:t>
                </w:r>
                <w:r>
                  <w:rPr>
                    <w:rStyle w:val="6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ind w:firstLine="360"/>
      <w:rPr>
        <w:rStyle w:val="61"/>
      </w:rPr>
    </w:pPr>
    <w:r>
      <w:fldChar w:fldCharType="begin"/>
    </w:r>
    <w:r>
      <w:rPr>
        <w:rStyle w:val="61"/>
      </w:rPr>
      <w:instrText xml:space="preserve">PAGE  </w:instrText>
    </w:r>
    <w:r>
      <w:fldChar w:fldCharType="separate"/>
    </w:r>
    <w:r>
      <w:rPr>
        <w:rStyle w:val="61"/>
      </w:rPr>
      <w:t>1</w:t>
    </w:r>
    <w:r>
      <w:fldChar w:fldCharType="end"/>
    </w:r>
  </w:p>
  <w:p>
    <w:pPr>
      <w:pStyle w:val="3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p>
  </w:footnote>
  <w:footnote w:type="continuationSeparator" w:id="1">
    <w:p>
      <w:pPr>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0" w:firstLineChars="0"/>
      <w:jc w:val="both"/>
      <w:rPr>
        <w:sz w:val="15"/>
        <w:szCs w:val="15"/>
      </w:rPr>
    </w:pPr>
    <w:r>
      <w:rPr>
        <w:rFonts w:hint="eastAsia"/>
        <w:sz w:val="15"/>
        <w:szCs w:val="15"/>
      </w:rPr>
      <w:t>公路工程施工招标文件示范文本（技术</w:t>
    </w:r>
    <w:r>
      <w:rPr>
        <w:rFonts w:hint="eastAsia"/>
        <w:sz w:val="15"/>
        <w:szCs w:val="15"/>
        <w:lang w:val="en-US" w:eastAsia="zh-CN"/>
      </w:rPr>
      <w:t>评分</w:t>
    </w:r>
    <w:r>
      <w:rPr>
        <w:rFonts w:hint="eastAsia"/>
        <w:sz w:val="15"/>
        <w:szCs w:val="15"/>
      </w:rPr>
      <w:t>最低标价法202</w:t>
    </w:r>
    <w:r>
      <w:rPr>
        <w:rFonts w:hint="eastAsia"/>
        <w:sz w:val="15"/>
        <w:szCs w:val="15"/>
        <w:lang w:val="en-US" w:eastAsia="zh-CN"/>
      </w:rPr>
      <w:t>50301</w:t>
    </w:r>
    <w:r>
      <w:rPr>
        <w:rFonts w:hint="eastAsia"/>
        <w:sz w:val="15"/>
        <w:szCs w:val="15"/>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ind w:firstLine="360"/>
      <w:rPr>
        <w:rStyle w:val="61"/>
      </w:rPr>
    </w:pPr>
    <w:r>
      <w:fldChar w:fldCharType="begin"/>
    </w:r>
    <w:r>
      <w:rPr>
        <w:rStyle w:val="61"/>
      </w:rPr>
      <w:instrText xml:space="preserve">PAGE  </w:instrText>
    </w:r>
    <w:r>
      <w:fldChar w:fldCharType="end"/>
    </w:r>
  </w:p>
  <w:p>
    <w:pPr>
      <w:pStyle w:val="35"/>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0" w:firstLineChars="0"/>
      <w:jc w:val="both"/>
      <w:rPr>
        <w:sz w:val="15"/>
        <w:szCs w:val="15"/>
      </w:rPr>
    </w:pPr>
    <w:r>
      <w:rPr>
        <w:rFonts w:hint="eastAsia"/>
        <w:sz w:val="15"/>
        <w:szCs w:val="15"/>
      </w:rPr>
      <w:t>公路工程施工招标文件示范文本（技术</w:t>
    </w:r>
    <w:r>
      <w:rPr>
        <w:rFonts w:hint="eastAsia"/>
        <w:sz w:val="15"/>
        <w:szCs w:val="15"/>
        <w:lang w:val="en-US" w:eastAsia="zh-CN"/>
      </w:rPr>
      <w:t>评分</w:t>
    </w:r>
    <w:r>
      <w:rPr>
        <w:rFonts w:hint="eastAsia"/>
        <w:sz w:val="15"/>
        <w:szCs w:val="15"/>
      </w:rPr>
      <w:t>最低标价法202</w:t>
    </w:r>
    <w:r>
      <w:rPr>
        <w:rFonts w:hint="eastAsia"/>
        <w:sz w:val="15"/>
        <w:szCs w:val="15"/>
        <w:lang w:val="en-US" w:eastAsia="zh-CN"/>
      </w:rPr>
      <w:t>5</w:t>
    </w:r>
    <w:r>
      <w:rPr>
        <w:rFonts w:hint="eastAsia"/>
        <w:sz w:val="15"/>
        <w:szCs w:val="15"/>
      </w:rPr>
      <w:t>0</w:t>
    </w:r>
    <w:r>
      <w:rPr>
        <w:rFonts w:hint="eastAsia"/>
        <w:sz w:val="15"/>
        <w:szCs w:val="15"/>
        <w:lang w:val="en-US" w:eastAsia="zh-CN"/>
      </w:rPr>
      <w:t>301</w:t>
    </w:r>
    <w:r>
      <w:rPr>
        <w:rFonts w:hint="eastAsia"/>
        <w:sz w:val="15"/>
        <w:szCs w:val="15"/>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ind w:firstLine="360"/>
      <w:rPr>
        <w:rStyle w:val="61"/>
      </w:rPr>
    </w:pPr>
    <w:r>
      <w:fldChar w:fldCharType="begin"/>
    </w:r>
    <w:r>
      <w:rPr>
        <w:rStyle w:val="61"/>
      </w:rPr>
      <w:instrText xml:space="preserve">PAGE  </w:instrText>
    </w:r>
    <w:r>
      <w:fldChar w:fldCharType="end"/>
    </w:r>
  </w:p>
  <w:p>
    <w:pPr>
      <w:pStyle w:val="35"/>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topLinePunct/>
      <w:spacing w:line="240" w:lineRule="atLeast"/>
      <w:ind w:right="190" w:firstLine="340"/>
      <w:jc w:val="right"/>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75A29"/>
    <w:multiLevelType w:val="singleLevel"/>
    <w:tmpl w:val="9F775A29"/>
    <w:lvl w:ilvl="0" w:tentative="0">
      <w:start w:val="6"/>
      <w:numFmt w:val="chineseCounting"/>
      <w:suff w:val="nothing"/>
      <w:lvlText w:val="（%1）"/>
      <w:lvlJc w:val="left"/>
      <w:rPr>
        <w:rFonts w:hint="eastAsia"/>
      </w:rPr>
    </w:lvl>
  </w:abstractNum>
  <w:abstractNum w:abstractNumId="1">
    <w:nsid w:val="36354208"/>
    <w:multiLevelType w:val="multilevel"/>
    <w:tmpl w:val="36354208"/>
    <w:lvl w:ilvl="0" w:tentative="0">
      <w:start w:val="1"/>
      <w:numFmt w:val="japaneseCounting"/>
      <w:lvlText w:val="第%1章"/>
      <w:lvlJc w:val="left"/>
      <w:pPr>
        <w:ind w:left="1960" w:hanging="13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7B13E02"/>
    <w:multiLevelType w:val="singleLevel"/>
    <w:tmpl w:val="37B13E02"/>
    <w:lvl w:ilvl="0" w:tentative="0">
      <w:start w:val="1"/>
      <w:numFmt w:val="decimal"/>
      <w:suff w:val="nothing"/>
      <w:lvlText w:val="（%1）"/>
      <w:lvlJc w:val="left"/>
    </w:lvl>
  </w:abstractNum>
  <w:abstractNum w:abstractNumId="3">
    <w:nsid w:val="38902E2F"/>
    <w:multiLevelType w:val="singleLevel"/>
    <w:tmpl w:val="38902E2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5"/>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0YWI3MWMzOWYxMDBlMDkxOThiNjIwNDJhZGJiNDEifQ=="/>
  </w:docVars>
  <w:rsids>
    <w:rsidRoot w:val="00E06D23"/>
    <w:rsid w:val="0000046A"/>
    <w:rsid w:val="00001E41"/>
    <w:rsid w:val="000073B0"/>
    <w:rsid w:val="00007B32"/>
    <w:rsid w:val="00010481"/>
    <w:rsid w:val="000104A1"/>
    <w:rsid w:val="00010B8F"/>
    <w:rsid w:val="000115FA"/>
    <w:rsid w:val="000129B5"/>
    <w:rsid w:val="00013BAE"/>
    <w:rsid w:val="0001444F"/>
    <w:rsid w:val="00015715"/>
    <w:rsid w:val="0001580B"/>
    <w:rsid w:val="0001644B"/>
    <w:rsid w:val="000165CF"/>
    <w:rsid w:val="00020C53"/>
    <w:rsid w:val="00020E3C"/>
    <w:rsid w:val="000212B6"/>
    <w:rsid w:val="000218D5"/>
    <w:rsid w:val="000230E4"/>
    <w:rsid w:val="00023E4C"/>
    <w:rsid w:val="000247AA"/>
    <w:rsid w:val="0002549C"/>
    <w:rsid w:val="000265E2"/>
    <w:rsid w:val="00030DD1"/>
    <w:rsid w:val="00031D58"/>
    <w:rsid w:val="0003401F"/>
    <w:rsid w:val="00034D9E"/>
    <w:rsid w:val="00035366"/>
    <w:rsid w:val="00036CC8"/>
    <w:rsid w:val="000400D2"/>
    <w:rsid w:val="00040C3A"/>
    <w:rsid w:val="0004207B"/>
    <w:rsid w:val="00043648"/>
    <w:rsid w:val="00043A6C"/>
    <w:rsid w:val="00043A76"/>
    <w:rsid w:val="000449EE"/>
    <w:rsid w:val="00045698"/>
    <w:rsid w:val="000506BD"/>
    <w:rsid w:val="00053838"/>
    <w:rsid w:val="000540CE"/>
    <w:rsid w:val="0005464F"/>
    <w:rsid w:val="00054FA2"/>
    <w:rsid w:val="00055324"/>
    <w:rsid w:val="00055B16"/>
    <w:rsid w:val="000562E8"/>
    <w:rsid w:val="00056358"/>
    <w:rsid w:val="000563B0"/>
    <w:rsid w:val="00057ADF"/>
    <w:rsid w:val="0006029D"/>
    <w:rsid w:val="00060322"/>
    <w:rsid w:val="00060890"/>
    <w:rsid w:val="00061525"/>
    <w:rsid w:val="000616D8"/>
    <w:rsid w:val="00061D13"/>
    <w:rsid w:val="00061E99"/>
    <w:rsid w:val="00062641"/>
    <w:rsid w:val="00063986"/>
    <w:rsid w:val="00064C90"/>
    <w:rsid w:val="00065594"/>
    <w:rsid w:val="00065730"/>
    <w:rsid w:val="00066E41"/>
    <w:rsid w:val="00067267"/>
    <w:rsid w:val="000708EE"/>
    <w:rsid w:val="00071086"/>
    <w:rsid w:val="0007174E"/>
    <w:rsid w:val="0007228F"/>
    <w:rsid w:val="00072C89"/>
    <w:rsid w:val="00075745"/>
    <w:rsid w:val="00076824"/>
    <w:rsid w:val="00080EA6"/>
    <w:rsid w:val="0008315E"/>
    <w:rsid w:val="00083BD3"/>
    <w:rsid w:val="00084E37"/>
    <w:rsid w:val="000860B0"/>
    <w:rsid w:val="000873E3"/>
    <w:rsid w:val="00087D07"/>
    <w:rsid w:val="0009127D"/>
    <w:rsid w:val="000928DE"/>
    <w:rsid w:val="00093B89"/>
    <w:rsid w:val="000940FB"/>
    <w:rsid w:val="00094520"/>
    <w:rsid w:val="00095A4C"/>
    <w:rsid w:val="00095D28"/>
    <w:rsid w:val="00096174"/>
    <w:rsid w:val="00096E2B"/>
    <w:rsid w:val="000A171C"/>
    <w:rsid w:val="000A1855"/>
    <w:rsid w:val="000A2C5A"/>
    <w:rsid w:val="000A3E3C"/>
    <w:rsid w:val="000A3EFE"/>
    <w:rsid w:val="000A4DE4"/>
    <w:rsid w:val="000A5068"/>
    <w:rsid w:val="000A509D"/>
    <w:rsid w:val="000A5824"/>
    <w:rsid w:val="000A63F6"/>
    <w:rsid w:val="000A7EF9"/>
    <w:rsid w:val="000B0786"/>
    <w:rsid w:val="000B1B55"/>
    <w:rsid w:val="000B2C0D"/>
    <w:rsid w:val="000B36E2"/>
    <w:rsid w:val="000B3A75"/>
    <w:rsid w:val="000B3AEB"/>
    <w:rsid w:val="000B41CA"/>
    <w:rsid w:val="000B41DD"/>
    <w:rsid w:val="000B4519"/>
    <w:rsid w:val="000B6324"/>
    <w:rsid w:val="000B6821"/>
    <w:rsid w:val="000B6D32"/>
    <w:rsid w:val="000B7960"/>
    <w:rsid w:val="000C6E2D"/>
    <w:rsid w:val="000C6E78"/>
    <w:rsid w:val="000C6E86"/>
    <w:rsid w:val="000D041D"/>
    <w:rsid w:val="000D1E5D"/>
    <w:rsid w:val="000D1EB9"/>
    <w:rsid w:val="000D2D17"/>
    <w:rsid w:val="000D3191"/>
    <w:rsid w:val="000D4464"/>
    <w:rsid w:val="000E153E"/>
    <w:rsid w:val="000E16FE"/>
    <w:rsid w:val="000E2151"/>
    <w:rsid w:val="000E22CE"/>
    <w:rsid w:val="000E2AA1"/>
    <w:rsid w:val="000E519F"/>
    <w:rsid w:val="000E51B5"/>
    <w:rsid w:val="000E5F0C"/>
    <w:rsid w:val="000F0761"/>
    <w:rsid w:val="000F11F7"/>
    <w:rsid w:val="000F2B1E"/>
    <w:rsid w:val="000F39DE"/>
    <w:rsid w:val="000F433D"/>
    <w:rsid w:val="000F53D1"/>
    <w:rsid w:val="000F6105"/>
    <w:rsid w:val="00102BE0"/>
    <w:rsid w:val="00104289"/>
    <w:rsid w:val="0010642B"/>
    <w:rsid w:val="001117AF"/>
    <w:rsid w:val="00113501"/>
    <w:rsid w:val="00113B7A"/>
    <w:rsid w:val="00115466"/>
    <w:rsid w:val="0011626E"/>
    <w:rsid w:val="001163F2"/>
    <w:rsid w:val="00116CD3"/>
    <w:rsid w:val="001206E9"/>
    <w:rsid w:val="00120B32"/>
    <w:rsid w:val="0012123B"/>
    <w:rsid w:val="001214A7"/>
    <w:rsid w:val="001228FE"/>
    <w:rsid w:val="00123E09"/>
    <w:rsid w:val="001242E4"/>
    <w:rsid w:val="0012455A"/>
    <w:rsid w:val="00124E46"/>
    <w:rsid w:val="00124F8E"/>
    <w:rsid w:val="00125EC9"/>
    <w:rsid w:val="001261B5"/>
    <w:rsid w:val="00127863"/>
    <w:rsid w:val="00127ADF"/>
    <w:rsid w:val="001377FE"/>
    <w:rsid w:val="00142042"/>
    <w:rsid w:val="001427BD"/>
    <w:rsid w:val="00144291"/>
    <w:rsid w:val="00144630"/>
    <w:rsid w:val="00144E3D"/>
    <w:rsid w:val="0014739F"/>
    <w:rsid w:val="001507EE"/>
    <w:rsid w:val="00150CAA"/>
    <w:rsid w:val="00150D98"/>
    <w:rsid w:val="00152651"/>
    <w:rsid w:val="00152C23"/>
    <w:rsid w:val="00154DA6"/>
    <w:rsid w:val="00157A7D"/>
    <w:rsid w:val="00160176"/>
    <w:rsid w:val="00160321"/>
    <w:rsid w:val="001603A8"/>
    <w:rsid w:val="00160BEA"/>
    <w:rsid w:val="0016151C"/>
    <w:rsid w:val="00161973"/>
    <w:rsid w:val="00161B6C"/>
    <w:rsid w:val="00162BF7"/>
    <w:rsid w:val="00162C8E"/>
    <w:rsid w:val="00162C92"/>
    <w:rsid w:val="001651DD"/>
    <w:rsid w:val="001652E0"/>
    <w:rsid w:val="001654B6"/>
    <w:rsid w:val="001660E1"/>
    <w:rsid w:val="00166317"/>
    <w:rsid w:val="00166712"/>
    <w:rsid w:val="00166B03"/>
    <w:rsid w:val="00171E20"/>
    <w:rsid w:val="00173DB6"/>
    <w:rsid w:val="00173DFF"/>
    <w:rsid w:val="001752C4"/>
    <w:rsid w:val="00175813"/>
    <w:rsid w:val="00177B74"/>
    <w:rsid w:val="001802D9"/>
    <w:rsid w:val="001805AC"/>
    <w:rsid w:val="001811D7"/>
    <w:rsid w:val="001813AE"/>
    <w:rsid w:val="001819ED"/>
    <w:rsid w:val="00183030"/>
    <w:rsid w:val="00183FF5"/>
    <w:rsid w:val="00185591"/>
    <w:rsid w:val="00185830"/>
    <w:rsid w:val="00185E48"/>
    <w:rsid w:val="0018622D"/>
    <w:rsid w:val="00186D84"/>
    <w:rsid w:val="001919EB"/>
    <w:rsid w:val="00191A64"/>
    <w:rsid w:val="00191C18"/>
    <w:rsid w:val="001925C9"/>
    <w:rsid w:val="001936E6"/>
    <w:rsid w:val="0019495B"/>
    <w:rsid w:val="0019509B"/>
    <w:rsid w:val="00195632"/>
    <w:rsid w:val="001A0140"/>
    <w:rsid w:val="001A0490"/>
    <w:rsid w:val="001A1144"/>
    <w:rsid w:val="001A130E"/>
    <w:rsid w:val="001A1600"/>
    <w:rsid w:val="001A4538"/>
    <w:rsid w:val="001A52E3"/>
    <w:rsid w:val="001A573C"/>
    <w:rsid w:val="001A7279"/>
    <w:rsid w:val="001B0343"/>
    <w:rsid w:val="001B194E"/>
    <w:rsid w:val="001B3AEE"/>
    <w:rsid w:val="001B47C8"/>
    <w:rsid w:val="001B60D2"/>
    <w:rsid w:val="001C10BE"/>
    <w:rsid w:val="001C407F"/>
    <w:rsid w:val="001C471F"/>
    <w:rsid w:val="001C56D1"/>
    <w:rsid w:val="001C61B8"/>
    <w:rsid w:val="001C6B85"/>
    <w:rsid w:val="001D15DC"/>
    <w:rsid w:val="001D45B5"/>
    <w:rsid w:val="001D4C3F"/>
    <w:rsid w:val="001D5E1D"/>
    <w:rsid w:val="001D66F6"/>
    <w:rsid w:val="001D797B"/>
    <w:rsid w:val="001D79C0"/>
    <w:rsid w:val="001E0870"/>
    <w:rsid w:val="001E12FB"/>
    <w:rsid w:val="001E21A9"/>
    <w:rsid w:val="001E3193"/>
    <w:rsid w:val="001E4758"/>
    <w:rsid w:val="001E4A27"/>
    <w:rsid w:val="001E529A"/>
    <w:rsid w:val="001F0559"/>
    <w:rsid w:val="001F14F3"/>
    <w:rsid w:val="001F2120"/>
    <w:rsid w:val="001F2A77"/>
    <w:rsid w:val="001F3EBC"/>
    <w:rsid w:val="001F4AC3"/>
    <w:rsid w:val="001F4EC9"/>
    <w:rsid w:val="001F640E"/>
    <w:rsid w:val="001F6B32"/>
    <w:rsid w:val="001F70EB"/>
    <w:rsid w:val="001F7D8B"/>
    <w:rsid w:val="0020044A"/>
    <w:rsid w:val="0020074C"/>
    <w:rsid w:val="002013E4"/>
    <w:rsid w:val="00202B7E"/>
    <w:rsid w:val="002031F3"/>
    <w:rsid w:val="00203A0D"/>
    <w:rsid w:val="00204527"/>
    <w:rsid w:val="0020461F"/>
    <w:rsid w:val="00205CEA"/>
    <w:rsid w:val="00206611"/>
    <w:rsid w:val="002069B1"/>
    <w:rsid w:val="002069EE"/>
    <w:rsid w:val="00206C38"/>
    <w:rsid w:val="00210CD8"/>
    <w:rsid w:val="00211074"/>
    <w:rsid w:val="00212253"/>
    <w:rsid w:val="002143ED"/>
    <w:rsid w:val="00214850"/>
    <w:rsid w:val="00214D42"/>
    <w:rsid w:val="00214F70"/>
    <w:rsid w:val="00216401"/>
    <w:rsid w:val="00216571"/>
    <w:rsid w:val="00220180"/>
    <w:rsid w:val="00222290"/>
    <w:rsid w:val="002229B3"/>
    <w:rsid w:val="00222B42"/>
    <w:rsid w:val="00224E96"/>
    <w:rsid w:val="00224F52"/>
    <w:rsid w:val="00225D96"/>
    <w:rsid w:val="0022775E"/>
    <w:rsid w:val="00230113"/>
    <w:rsid w:val="00231419"/>
    <w:rsid w:val="002319FC"/>
    <w:rsid w:val="00232732"/>
    <w:rsid w:val="00234931"/>
    <w:rsid w:val="00234A76"/>
    <w:rsid w:val="00235B8C"/>
    <w:rsid w:val="002363B5"/>
    <w:rsid w:val="0024141C"/>
    <w:rsid w:val="00241778"/>
    <w:rsid w:val="002419B2"/>
    <w:rsid w:val="002423B6"/>
    <w:rsid w:val="00243040"/>
    <w:rsid w:val="00245BB2"/>
    <w:rsid w:val="00247F01"/>
    <w:rsid w:val="002512B8"/>
    <w:rsid w:val="0025168D"/>
    <w:rsid w:val="00252414"/>
    <w:rsid w:val="00253207"/>
    <w:rsid w:val="00253C6D"/>
    <w:rsid w:val="00254D35"/>
    <w:rsid w:val="00256A99"/>
    <w:rsid w:val="002612C6"/>
    <w:rsid w:val="00261B85"/>
    <w:rsid w:val="002630C0"/>
    <w:rsid w:val="00263E3B"/>
    <w:rsid w:val="00264117"/>
    <w:rsid w:val="00264A77"/>
    <w:rsid w:val="00264C8B"/>
    <w:rsid w:val="00266BAA"/>
    <w:rsid w:val="00271E52"/>
    <w:rsid w:val="00272A31"/>
    <w:rsid w:val="00272BC4"/>
    <w:rsid w:val="00273C3A"/>
    <w:rsid w:val="00274A35"/>
    <w:rsid w:val="0027631C"/>
    <w:rsid w:val="00276657"/>
    <w:rsid w:val="002812B4"/>
    <w:rsid w:val="00281B4F"/>
    <w:rsid w:val="00282B66"/>
    <w:rsid w:val="00283512"/>
    <w:rsid w:val="002858A0"/>
    <w:rsid w:val="0028643F"/>
    <w:rsid w:val="00290A39"/>
    <w:rsid w:val="00291A04"/>
    <w:rsid w:val="00293313"/>
    <w:rsid w:val="00293894"/>
    <w:rsid w:val="00293E0D"/>
    <w:rsid w:val="00294697"/>
    <w:rsid w:val="00294719"/>
    <w:rsid w:val="00294A77"/>
    <w:rsid w:val="002953DA"/>
    <w:rsid w:val="00295497"/>
    <w:rsid w:val="00295581"/>
    <w:rsid w:val="00295C68"/>
    <w:rsid w:val="00296273"/>
    <w:rsid w:val="002972CC"/>
    <w:rsid w:val="002A0AA2"/>
    <w:rsid w:val="002A237C"/>
    <w:rsid w:val="002A3EE1"/>
    <w:rsid w:val="002A5644"/>
    <w:rsid w:val="002A6E7C"/>
    <w:rsid w:val="002B0D28"/>
    <w:rsid w:val="002B1A65"/>
    <w:rsid w:val="002B259C"/>
    <w:rsid w:val="002B4000"/>
    <w:rsid w:val="002B4A02"/>
    <w:rsid w:val="002B5993"/>
    <w:rsid w:val="002B62CF"/>
    <w:rsid w:val="002C0ACB"/>
    <w:rsid w:val="002C0FCE"/>
    <w:rsid w:val="002C1A8F"/>
    <w:rsid w:val="002C2074"/>
    <w:rsid w:val="002C21CD"/>
    <w:rsid w:val="002C3CE8"/>
    <w:rsid w:val="002C5561"/>
    <w:rsid w:val="002C64AA"/>
    <w:rsid w:val="002D07F6"/>
    <w:rsid w:val="002D0BAE"/>
    <w:rsid w:val="002D152F"/>
    <w:rsid w:val="002D2031"/>
    <w:rsid w:val="002D4303"/>
    <w:rsid w:val="002D5C99"/>
    <w:rsid w:val="002D5F1C"/>
    <w:rsid w:val="002D5FF0"/>
    <w:rsid w:val="002D6029"/>
    <w:rsid w:val="002D640F"/>
    <w:rsid w:val="002D6ACA"/>
    <w:rsid w:val="002D7EFC"/>
    <w:rsid w:val="002E00ED"/>
    <w:rsid w:val="002E368E"/>
    <w:rsid w:val="002E3E85"/>
    <w:rsid w:val="002E52E7"/>
    <w:rsid w:val="002E5322"/>
    <w:rsid w:val="002F0FF6"/>
    <w:rsid w:val="002F10ED"/>
    <w:rsid w:val="002F14A9"/>
    <w:rsid w:val="002F1714"/>
    <w:rsid w:val="002F1BE4"/>
    <w:rsid w:val="002F3583"/>
    <w:rsid w:val="002F415B"/>
    <w:rsid w:val="002F47EF"/>
    <w:rsid w:val="002F49B9"/>
    <w:rsid w:val="002F5B7B"/>
    <w:rsid w:val="002F642D"/>
    <w:rsid w:val="002F7128"/>
    <w:rsid w:val="00300584"/>
    <w:rsid w:val="00300F23"/>
    <w:rsid w:val="00301C3A"/>
    <w:rsid w:val="00302F61"/>
    <w:rsid w:val="003037D7"/>
    <w:rsid w:val="00303E38"/>
    <w:rsid w:val="0030422B"/>
    <w:rsid w:val="00304A69"/>
    <w:rsid w:val="00305106"/>
    <w:rsid w:val="003051D6"/>
    <w:rsid w:val="00305EA6"/>
    <w:rsid w:val="00306B1B"/>
    <w:rsid w:val="0031197C"/>
    <w:rsid w:val="00313462"/>
    <w:rsid w:val="00315936"/>
    <w:rsid w:val="00317D63"/>
    <w:rsid w:val="00320262"/>
    <w:rsid w:val="00321845"/>
    <w:rsid w:val="00322AE2"/>
    <w:rsid w:val="00324372"/>
    <w:rsid w:val="00324F12"/>
    <w:rsid w:val="00326DDD"/>
    <w:rsid w:val="00332F54"/>
    <w:rsid w:val="00332F5E"/>
    <w:rsid w:val="003330C3"/>
    <w:rsid w:val="00334080"/>
    <w:rsid w:val="00335464"/>
    <w:rsid w:val="00336E41"/>
    <w:rsid w:val="003374EE"/>
    <w:rsid w:val="0033798C"/>
    <w:rsid w:val="00337DE8"/>
    <w:rsid w:val="003420EA"/>
    <w:rsid w:val="003421F5"/>
    <w:rsid w:val="00343658"/>
    <w:rsid w:val="00343726"/>
    <w:rsid w:val="00346976"/>
    <w:rsid w:val="003472AC"/>
    <w:rsid w:val="00347882"/>
    <w:rsid w:val="0035066D"/>
    <w:rsid w:val="003528A4"/>
    <w:rsid w:val="00353A3D"/>
    <w:rsid w:val="00353B51"/>
    <w:rsid w:val="00353D64"/>
    <w:rsid w:val="0035415D"/>
    <w:rsid w:val="0035496D"/>
    <w:rsid w:val="003558E2"/>
    <w:rsid w:val="00356145"/>
    <w:rsid w:val="00356E5B"/>
    <w:rsid w:val="0035721E"/>
    <w:rsid w:val="00357785"/>
    <w:rsid w:val="00361385"/>
    <w:rsid w:val="00361C3B"/>
    <w:rsid w:val="00362C02"/>
    <w:rsid w:val="00363C12"/>
    <w:rsid w:val="00364FD1"/>
    <w:rsid w:val="00367471"/>
    <w:rsid w:val="0037000F"/>
    <w:rsid w:val="003700A6"/>
    <w:rsid w:val="003703F3"/>
    <w:rsid w:val="003704D0"/>
    <w:rsid w:val="00370FE0"/>
    <w:rsid w:val="00371380"/>
    <w:rsid w:val="00371484"/>
    <w:rsid w:val="00373A0B"/>
    <w:rsid w:val="003757B4"/>
    <w:rsid w:val="00376747"/>
    <w:rsid w:val="00381AE2"/>
    <w:rsid w:val="00382C1F"/>
    <w:rsid w:val="00382E11"/>
    <w:rsid w:val="0038618B"/>
    <w:rsid w:val="003864AE"/>
    <w:rsid w:val="00386922"/>
    <w:rsid w:val="00386983"/>
    <w:rsid w:val="00387285"/>
    <w:rsid w:val="0039004C"/>
    <w:rsid w:val="00390645"/>
    <w:rsid w:val="00391481"/>
    <w:rsid w:val="00391B71"/>
    <w:rsid w:val="003937E7"/>
    <w:rsid w:val="00394224"/>
    <w:rsid w:val="00394749"/>
    <w:rsid w:val="0039499F"/>
    <w:rsid w:val="00395699"/>
    <w:rsid w:val="003978FB"/>
    <w:rsid w:val="003A00B2"/>
    <w:rsid w:val="003A1BAF"/>
    <w:rsid w:val="003A258B"/>
    <w:rsid w:val="003A57C4"/>
    <w:rsid w:val="003A58FF"/>
    <w:rsid w:val="003A5EA5"/>
    <w:rsid w:val="003A608B"/>
    <w:rsid w:val="003A7336"/>
    <w:rsid w:val="003A7A66"/>
    <w:rsid w:val="003B2249"/>
    <w:rsid w:val="003B2DCC"/>
    <w:rsid w:val="003B2ED5"/>
    <w:rsid w:val="003B3FFA"/>
    <w:rsid w:val="003B5045"/>
    <w:rsid w:val="003B54FC"/>
    <w:rsid w:val="003B5895"/>
    <w:rsid w:val="003B696F"/>
    <w:rsid w:val="003B7787"/>
    <w:rsid w:val="003B7C27"/>
    <w:rsid w:val="003C1F13"/>
    <w:rsid w:val="003C20BA"/>
    <w:rsid w:val="003C2A27"/>
    <w:rsid w:val="003C30CC"/>
    <w:rsid w:val="003C35A7"/>
    <w:rsid w:val="003C51E4"/>
    <w:rsid w:val="003C7765"/>
    <w:rsid w:val="003D12D5"/>
    <w:rsid w:val="003D187C"/>
    <w:rsid w:val="003D22CC"/>
    <w:rsid w:val="003D3A43"/>
    <w:rsid w:val="003D5C8E"/>
    <w:rsid w:val="003D6482"/>
    <w:rsid w:val="003D6C20"/>
    <w:rsid w:val="003D6D18"/>
    <w:rsid w:val="003D6E57"/>
    <w:rsid w:val="003D7A09"/>
    <w:rsid w:val="003E1E21"/>
    <w:rsid w:val="003E2E2F"/>
    <w:rsid w:val="003E4A6A"/>
    <w:rsid w:val="003E4CEC"/>
    <w:rsid w:val="003E625F"/>
    <w:rsid w:val="003E7131"/>
    <w:rsid w:val="003E7FC7"/>
    <w:rsid w:val="003F2F6E"/>
    <w:rsid w:val="003F48A3"/>
    <w:rsid w:val="003F512B"/>
    <w:rsid w:val="003F586F"/>
    <w:rsid w:val="003F5EAE"/>
    <w:rsid w:val="00400DF5"/>
    <w:rsid w:val="0040240F"/>
    <w:rsid w:val="00404B6B"/>
    <w:rsid w:val="00404D9E"/>
    <w:rsid w:val="004064CA"/>
    <w:rsid w:val="00412A54"/>
    <w:rsid w:val="004144AC"/>
    <w:rsid w:val="004147C8"/>
    <w:rsid w:val="00415085"/>
    <w:rsid w:val="00415F0F"/>
    <w:rsid w:val="004164E1"/>
    <w:rsid w:val="004171BD"/>
    <w:rsid w:val="00420107"/>
    <w:rsid w:val="00421716"/>
    <w:rsid w:val="00424A57"/>
    <w:rsid w:val="00424EDC"/>
    <w:rsid w:val="0042636D"/>
    <w:rsid w:val="0042749E"/>
    <w:rsid w:val="00431413"/>
    <w:rsid w:val="00431F8E"/>
    <w:rsid w:val="00432B91"/>
    <w:rsid w:val="00436069"/>
    <w:rsid w:val="00436CB9"/>
    <w:rsid w:val="0043722F"/>
    <w:rsid w:val="00437508"/>
    <w:rsid w:val="00440A06"/>
    <w:rsid w:val="0044126D"/>
    <w:rsid w:val="00443616"/>
    <w:rsid w:val="00443A4F"/>
    <w:rsid w:val="00445E08"/>
    <w:rsid w:val="00447D82"/>
    <w:rsid w:val="0045352D"/>
    <w:rsid w:val="00454A78"/>
    <w:rsid w:val="00456735"/>
    <w:rsid w:val="004569F9"/>
    <w:rsid w:val="00457CC1"/>
    <w:rsid w:val="00460531"/>
    <w:rsid w:val="004612E1"/>
    <w:rsid w:val="00461E6B"/>
    <w:rsid w:val="004638ED"/>
    <w:rsid w:val="00463C5E"/>
    <w:rsid w:val="00463F1B"/>
    <w:rsid w:val="00464F30"/>
    <w:rsid w:val="004651D4"/>
    <w:rsid w:val="004658AD"/>
    <w:rsid w:val="00465DF6"/>
    <w:rsid w:val="00466436"/>
    <w:rsid w:val="0046704E"/>
    <w:rsid w:val="004672EB"/>
    <w:rsid w:val="00467447"/>
    <w:rsid w:val="00467767"/>
    <w:rsid w:val="00472362"/>
    <w:rsid w:val="004763A5"/>
    <w:rsid w:val="00476A1A"/>
    <w:rsid w:val="00476D08"/>
    <w:rsid w:val="004815D4"/>
    <w:rsid w:val="0048381A"/>
    <w:rsid w:val="004855CE"/>
    <w:rsid w:val="004872C3"/>
    <w:rsid w:val="004904EE"/>
    <w:rsid w:val="00490AFF"/>
    <w:rsid w:val="00490B8B"/>
    <w:rsid w:val="00491C72"/>
    <w:rsid w:val="00491E10"/>
    <w:rsid w:val="00492223"/>
    <w:rsid w:val="00492B7B"/>
    <w:rsid w:val="00492F46"/>
    <w:rsid w:val="00493067"/>
    <w:rsid w:val="00493B82"/>
    <w:rsid w:val="004946C4"/>
    <w:rsid w:val="00494E12"/>
    <w:rsid w:val="00495F54"/>
    <w:rsid w:val="0049768C"/>
    <w:rsid w:val="004A0D55"/>
    <w:rsid w:val="004A2F84"/>
    <w:rsid w:val="004A3D35"/>
    <w:rsid w:val="004A664B"/>
    <w:rsid w:val="004A7AB9"/>
    <w:rsid w:val="004B2A74"/>
    <w:rsid w:val="004B36F4"/>
    <w:rsid w:val="004B3FA6"/>
    <w:rsid w:val="004B4041"/>
    <w:rsid w:val="004B46BA"/>
    <w:rsid w:val="004B74C4"/>
    <w:rsid w:val="004B7537"/>
    <w:rsid w:val="004C12D9"/>
    <w:rsid w:val="004C15E4"/>
    <w:rsid w:val="004C32E8"/>
    <w:rsid w:val="004C5C47"/>
    <w:rsid w:val="004C5D0A"/>
    <w:rsid w:val="004C5EC4"/>
    <w:rsid w:val="004C6A88"/>
    <w:rsid w:val="004C6ACD"/>
    <w:rsid w:val="004C6D59"/>
    <w:rsid w:val="004C76A0"/>
    <w:rsid w:val="004D2473"/>
    <w:rsid w:val="004D3F67"/>
    <w:rsid w:val="004D42C0"/>
    <w:rsid w:val="004D442E"/>
    <w:rsid w:val="004D67DA"/>
    <w:rsid w:val="004E0B12"/>
    <w:rsid w:val="004E1292"/>
    <w:rsid w:val="004E14EB"/>
    <w:rsid w:val="004E1904"/>
    <w:rsid w:val="004E3619"/>
    <w:rsid w:val="004E3E16"/>
    <w:rsid w:val="004E412C"/>
    <w:rsid w:val="004E47F3"/>
    <w:rsid w:val="004E48CC"/>
    <w:rsid w:val="004E50F5"/>
    <w:rsid w:val="004E5908"/>
    <w:rsid w:val="004E70E0"/>
    <w:rsid w:val="004E7A1A"/>
    <w:rsid w:val="004E7E93"/>
    <w:rsid w:val="004F05A4"/>
    <w:rsid w:val="004F2C4A"/>
    <w:rsid w:val="004F5288"/>
    <w:rsid w:val="004F5906"/>
    <w:rsid w:val="004F5BCC"/>
    <w:rsid w:val="004F5C4C"/>
    <w:rsid w:val="004F5F77"/>
    <w:rsid w:val="004F6680"/>
    <w:rsid w:val="004F7776"/>
    <w:rsid w:val="004F7E2D"/>
    <w:rsid w:val="005005F6"/>
    <w:rsid w:val="00500D15"/>
    <w:rsid w:val="00501825"/>
    <w:rsid w:val="00502086"/>
    <w:rsid w:val="0050296B"/>
    <w:rsid w:val="00503D3A"/>
    <w:rsid w:val="00504DDC"/>
    <w:rsid w:val="00505BA7"/>
    <w:rsid w:val="00505F9E"/>
    <w:rsid w:val="005061A8"/>
    <w:rsid w:val="00507B0C"/>
    <w:rsid w:val="005100FD"/>
    <w:rsid w:val="00511021"/>
    <w:rsid w:val="00511ABD"/>
    <w:rsid w:val="005122EA"/>
    <w:rsid w:val="00512723"/>
    <w:rsid w:val="005128B7"/>
    <w:rsid w:val="00513410"/>
    <w:rsid w:val="005152F6"/>
    <w:rsid w:val="00515FB3"/>
    <w:rsid w:val="00516D13"/>
    <w:rsid w:val="00516EBA"/>
    <w:rsid w:val="0052210B"/>
    <w:rsid w:val="0052377D"/>
    <w:rsid w:val="0052413E"/>
    <w:rsid w:val="00524721"/>
    <w:rsid w:val="00524A03"/>
    <w:rsid w:val="00526EA8"/>
    <w:rsid w:val="00527544"/>
    <w:rsid w:val="005303D1"/>
    <w:rsid w:val="00531A3C"/>
    <w:rsid w:val="00533379"/>
    <w:rsid w:val="005335A1"/>
    <w:rsid w:val="00534119"/>
    <w:rsid w:val="005369BA"/>
    <w:rsid w:val="005374A7"/>
    <w:rsid w:val="00540C81"/>
    <w:rsid w:val="005411AF"/>
    <w:rsid w:val="005426D9"/>
    <w:rsid w:val="005427A5"/>
    <w:rsid w:val="005428D3"/>
    <w:rsid w:val="00542AF5"/>
    <w:rsid w:val="00542D0D"/>
    <w:rsid w:val="005432AB"/>
    <w:rsid w:val="005438E0"/>
    <w:rsid w:val="00544CC0"/>
    <w:rsid w:val="005451DA"/>
    <w:rsid w:val="0054542F"/>
    <w:rsid w:val="00545A93"/>
    <w:rsid w:val="00545AA6"/>
    <w:rsid w:val="0054676C"/>
    <w:rsid w:val="0054689A"/>
    <w:rsid w:val="00547533"/>
    <w:rsid w:val="0054784F"/>
    <w:rsid w:val="005506BD"/>
    <w:rsid w:val="005508D1"/>
    <w:rsid w:val="0055162D"/>
    <w:rsid w:val="00551E52"/>
    <w:rsid w:val="005528FB"/>
    <w:rsid w:val="005549B7"/>
    <w:rsid w:val="00554EFA"/>
    <w:rsid w:val="005558C3"/>
    <w:rsid w:val="00556058"/>
    <w:rsid w:val="0055762C"/>
    <w:rsid w:val="005576BD"/>
    <w:rsid w:val="0056045E"/>
    <w:rsid w:val="005606FE"/>
    <w:rsid w:val="005624CB"/>
    <w:rsid w:val="00562ED7"/>
    <w:rsid w:val="0056331D"/>
    <w:rsid w:val="005638C5"/>
    <w:rsid w:val="00564927"/>
    <w:rsid w:val="00564EBF"/>
    <w:rsid w:val="00565F04"/>
    <w:rsid w:val="005661D3"/>
    <w:rsid w:val="00567A7C"/>
    <w:rsid w:val="00567F61"/>
    <w:rsid w:val="0057149B"/>
    <w:rsid w:val="00571ABF"/>
    <w:rsid w:val="005721AE"/>
    <w:rsid w:val="00575352"/>
    <w:rsid w:val="00575EAC"/>
    <w:rsid w:val="005779F9"/>
    <w:rsid w:val="00577C38"/>
    <w:rsid w:val="00580831"/>
    <w:rsid w:val="00580A41"/>
    <w:rsid w:val="00580DCF"/>
    <w:rsid w:val="0058144C"/>
    <w:rsid w:val="005816AB"/>
    <w:rsid w:val="00581F3B"/>
    <w:rsid w:val="00584D21"/>
    <w:rsid w:val="0058582E"/>
    <w:rsid w:val="00585D47"/>
    <w:rsid w:val="00586F56"/>
    <w:rsid w:val="00590B41"/>
    <w:rsid w:val="00593500"/>
    <w:rsid w:val="0059410F"/>
    <w:rsid w:val="00594B40"/>
    <w:rsid w:val="00595051"/>
    <w:rsid w:val="0059506C"/>
    <w:rsid w:val="00595E9C"/>
    <w:rsid w:val="005963BB"/>
    <w:rsid w:val="0059747A"/>
    <w:rsid w:val="005975AE"/>
    <w:rsid w:val="005977FE"/>
    <w:rsid w:val="00597FBE"/>
    <w:rsid w:val="005A112C"/>
    <w:rsid w:val="005A17FA"/>
    <w:rsid w:val="005A19F8"/>
    <w:rsid w:val="005A1EF3"/>
    <w:rsid w:val="005A383E"/>
    <w:rsid w:val="005A6733"/>
    <w:rsid w:val="005B0833"/>
    <w:rsid w:val="005B2056"/>
    <w:rsid w:val="005B3156"/>
    <w:rsid w:val="005B504E"/>
    <w:rsid w:val="005B5376"/>
    <w:rsid w:val="005B57B6"/>
    <w:rsid w:val="005B6232"/>
    <w:rsid w:val="005B66C6"/>
    <w:rsid w:val="005C080C"/>
    <w:rsid w:val="005C0D91"/>
    <w:rsid w:val="005C201C"/>
    <w:rsid w:val="005C2B79"/>
    <w:rsid w:val="005C3D97"/>
    <w:rsid w:val="005C5909"/>
    <w:rsid w:val="005C5C1C"/>
    <w:rsid w:val="005C797F"/>
    <w:rsid w:val="005D09A6"/>
    <w:rsid w:val="005D0AF1"/>
    <w:rsid w:val="005D17BA"/>
    <w:rsid w:val="005D17C8"/>
    <w:rsid w:val="005D1895"/>
    <w:rsid w:val="005D256B"/>
    <w:rsid w:val="005D4511"/>
    <w:rsid w:val="005D4604"/>
    <w:rsid w:val="005D48DD"/>
    <w:rsid w:val="005D4A8E"/>
    <w:rsid w:val="005D4FAF"/>
    <w:rsid w:val="005D51D0"/>
    <w:rsid w:val="005D545C"/>
    <w:rsid w:val="005D619B"/>
    <w:rsid w:val="005D6AFF"/>
    <w:rsid w:val="005D6B63"/>
    <w:rsid w:val="005D6BA6"/>
    <w:rsid w:val="005D750A"/>
    <w:rsid w:val="005D7BBC"/>
    <w:rsid w:val="005E0329"/>
    <w:rsid w:val="005E2908"/>
    <w:rsid w:val="005E3B8C"/>
    <w:rsid w:val="005E401F"/>
    <w:rsid w:val="005E45F9"/>
    <w:rsid w:val="005E469F"/>
    <w:rsid w:val="005E5821"/>
    <w:rsid w:val="005E59D0"/>
    <w:rsid w:val="005E66F9"/>
    <w:rsid w:val="005E6E2F"/>
    <w:rsid w:val="005E70AC"/>
    <w:rsid w:val="005E70B9"/>
    <w:rsid w:val="005E7D5B"/>
    <w:rsid w:val="005F55F7"/>
    <w:rsid w:val="005F5B1D"/>
    <w:rsid w:val="005F702E"/>
    <w:rsid w:val="005F76C6"/>
    <w:rsid w:val="006001AB"/>
    <w:rsid w:val="00600AFA"/>
    <w:rsid w:val="006016CD"/>
    <w:rsid w:val="00603F12"/>
    <w:rsid w:val="00606A1B"/>
    <w:rsid w:val="00607EE1"/>
    <w:rsid w:val="00610297"/>
    <w:rsid w:val="0061062A"/>
    <w:rsid w:val="00613166"/>
    <w:rsid w:val="00613CB3"/>
    <w:rsid w:val="00614DF6"/>
    <w:rsid w:val="00616723"/>
    <w:rsid w:val="00616790"/>
    <w:rsid w:val="006179CA"/>
    <w:rsid w:val="006202A0"/>
    <w:rsid w:val="00620FEC"/>
    <w:rsid w:val="00622105"/>
    <w:rsid w:val="00622B1A"/>
    <w:rsid w:val="00624711"/>
    <w:rsid w:val="00624BEE"/>
    <w:rsid w:val="00624CA7"/>
    <w:rsid w:val="00624EC8"/>
    <w:rsid w:val="00625799"/>
    <w:rsid w:val="006277D7"/>
    <w:rsid w:val="0063084F"/>
    <w:rsid w:val="00631643"/>
    <w:rsid w:val="006316C5"/>
    <w:rsid w:val="006326D0"/>
    <w:rsid w:val="006332AB"/>
    <w:rsid w:val="006345DA"/>
    <w:rsid w:val="006417D5"/>
    <w:rsid w:val="00642FE5"/>
    <w:rsid w:val="006432E8"/>
    <w:rsid w:val="006435B6"/>
    <w:rsid w:val="00644790"/>
    <w:rsid w:val="0064490E"/>
    <w:rsid w:val="00646A1E"/>
    <w:rsid w:val="00650881"/>
    <w:rsid w:val="006509D0"/>
    <w:rsid w:val="00653356"/>
    <w:rsid w:val="006542FA"/>
    <w:rsid w:val="00654830"/>
    <w:rsid w:val="00655C79"/>
    <w:rsid w:val="006560C3"/>
    <w:rsid w:val="00656DC9"/>
    <w:rsid w:val="0065725D"/>
    <w:rsid w:val="00657A8E"/>
    <w:rsid w:val="00660103"/>
    <w:rsid w:val="0066039F"/>
    <w:rsid w:val="00660D70"/>
    <w:rsid w:val="006639C4"/>
    <w:rsid w:val="00665D59"/>
    <w:rsid w:val="00667445"/>
    <w:rsid w:val="00671530"/>
    <w:rsid w:val="006717D3"/>
    <w:rsid w:val="00673EAA"/>
    <w:rsid w:val="006743C6"/>
    <w:rsid w:val="006759C1"/>
    <w:rsid w:val="006774C9"/>
    <w:rsid w:val="006817D2"/>
    <w:rsid w:val="00682189"/>
    <w:rsid w:val="00682D92"/>
    <w:rsid w:val="00682E6A"/>
    <w:rsid w:val="0068361A"/>
    <w:rsid w:val="00683691"/>
    <w:rsid w:val="0068415D"/>
    <w:rsid w:val="00685B53"/>
    <w:rsid w:val="00687A93"/>
    <w:rsid w:val="00687AC1"/>
    <w:rsid w:val="00690025"/>
    <w:rsid w:val="00690BBD"/>
    <w:rsid w:val="00691038"/>
    <w:rsid w:val="006915ED"/>
    <w:rsid w:val="00691AE8"/>
    <w:rsid w:val="00692E62"/>
    <w:rsid w:val="00695663"/>
    <w:rsid w:val="00695CDB"/>
    <w:rsid w:val="00697042"/>
    <w:rsid w:val="006A067D"/>
    <w:rsid w:val="006A152A"/>
    <w:rsid w:val="006A18E9"/>
    <w:rsid w:val="006A23CA"/>
    <w:rsid w:val="006A3AC0"/>
    <w:rsid w:val="006A5A43"/>
    <w:rsid w:val="006A6B2C"/>
    <w:rsid w:val="006B02D9"/>
    <w:rsid w:val="006B1A7D"/>
    <w:rsid w:val="006B26C8"/>
    <w:rsid w:val="006B2FD4"/>
    <w:rsid w:val="006B32CA"/>
    <w:rsid w:val="006B3B43"/>
    <w:rsid w:val="006B5CCD"/>
    <w:rsid w:val="006B63D0"/>
    <w:rsid w:val="006B6833"/>
    <w:rsid w:val="006B6EE3"/>
    <w:rsid w:val="006C04BC"/>
    <w:rsid w:val="006C0A7D"/>
    <w:rsid w:val="006C0CD1"/>
    <w:rsid w:val="006C3929"/>
    <w:rsid w:val="006C7098"/>
    <w:rsid w:val="006C70A0"/>
    <w:rsid w:val="006C720A"/>
    <w:rsid w:val="006D0376"/>
    <w:rsid w:val="006D0F49"/>
    <w:rsid w:val="006D33C9"/>
    <w:rsid w:val="006D43D5"/>
    <w:rsid w:val="006D4BE0"/>
    <w:rsid w:val="006D53EE"/>
    <w:rsid w:val="006D5F24"/>
    <w:rsid w:val="006D6CE1"/>
    <w:rsid w:val="006D7474"/>
    <w:rsid w:val="006E09B0"/>
    <w:rsid w:val="006E15EF"/>
    <w:rsid w:val="006E2F86"/>
    <w:rsid w:val="006E536A"/>
    <w:rsid w:val="006E6D7D"/>
    <w:rsid w:val="006E777E"/>
    <w:rsid w:val="006E7E7F"/>
    <w:rsid w:val="006F0580"/>
    <w:rsid w:val="006F0D88"/>
    <w:rsid w:val="006F30A7"/>
    <w:rsid w:val="006F3E61"/>
    <w:rsid w:val="006F6E28"/>
    <w:rsid w:val="00701032"/>
    <w:rsid w:val="00701695"/>
    <w:rsid w:val="0070177A"/>
    <w:rsid w:val="00702783"/>
    <w:rsid w:val="007035E4"/>
    <w:rsid w:val="00703E64"/>
    <w:rsid w:val="007059A6"/>
    <w:rsid w:val="00706039"/>
    <w:rsid w:val="00707F66"/>
    <w:rsid w:val="00711612"/>
    <w:rsid w:val="0071365C"/>
    <w:rsid w:val="00713B84"/>
    <w:rsid w:val="00714E51"/>
    <w:rsid w:val="00716E9B"/>
    <w:rsid w:val="0071714C"/>
    <w:rsid w:val="00721B6B"/>
    <w:rsid w:val="00723BF8"/>
    <w:rsid w:val="00723D6E"/>
    <w:rsid w:val="00724060"/>
    <w:rsid w:val="007250DA"/>
    <w:rsid w:val="0072588B"/>
    <w:rsid w:val="00725FE0"/>
    <w:rsid w:val="007276FF"/>
    <w:rsid w:val="00730653"/>
    <w:rsid w:val="007306CB"/>
    <w:rsid w:val="007315BC"/>
    <w:rsid w:val="0073246B"/>
    <w:rsid w:val="00732A8F"/>
    <w:rsid w:val="00735013"/>
    <w:rsid w:val="007351F3"/>
    <w:rsid w:val="007357CE"/>
    <w:rsid w:val="0073770C"/>
    <w:rsid w:val="007409BA"/>
    <w:rsid w:val="00743B2B"/>
    <w:rsid w:val="0074460E"/>
    <w:rsid w:val="00746A68"/>
    <w:rsid w:val="00747F29"/>
    <w:rsid w:val="0075037B"/>
    <w:rsid w:val="00752FCB"/>
    <w:rsid w:val="00753EF4"/>
    <w:rsid w:val="007564C7"/>
    <w:rsid w:val="00756D73"/>
    <w:rsid w:val="00761B5F"/>
    <w:rsid w:val="00765E93"/>
    <w:rsid w:val="0077135C"/>
    <w:rsid w:val="0077246C"/>
    <w:rsid w:val="00772ECD"/>
    <w:rsid w:val="00775282"/>
    <w:rsid w:val="00775374"/>
    <w:rsid w:val="007756FD"/>
    <w:rsid w:val="00775AF2"/>
    <w:rsid w:val="00776604"/>
    <w:rsid w:val="00776DE1"/>
    <w:rsid w:val="00777BBE"/>
    <w:rsid w:val="00780636"/>
    <w:rsid w:val="00780A0C"/>
    <w:rsid w:val="00781A76"/>
    <w:rsid w:val="00781B1E"/>
    <w:rsid w:val="00781BAC"/>
    <w:rsid w:val="00782989"/>
    <w:rsid w:val="00782DEF"/>
    <w:rsid w:val="007832A0"/>
    <w:rsid w:val="00784056"/>
    <w:rsid w:val="00785ED8"/>
    <w:rsid w:val="0078666C"/>
    <w:rsid w:val="00787125"/>
    <w:rsid w:val="00787787"/>
    <w:rsid w:val="00790B4A"/>
    <w:rsid w:val="00791EEE"/>
    <w:rsid w:val="00792009"/>
    <w:rsid w:val="007929A5"/>
    <w:rsid w:val="00792B2E"/>
    <w:rsid w:val="00792F5A"/>
    <w:rsid w:val="00793718"/>
    <w:rsid w:val="00793E51"/>
    <w:rsid w:val="00794BFF"/>
    <w:rsid w:val="00794D9D"/>
    <w:rsid w:val="007A1890"/>
    <w:rsid w:val="007A26B1"/>
    <w:rsid w:val="007A2A45"/>
    <w:rsid w:val="007A2FAE"/>
    <w:rsid w:val="007A42E4"/>
    <w:rsid w:val="007A4494"/>
    <w:rsid w:val="007A50B4"/>
    <w:rsid w:val="007A5F70"/>
    <w:rsid w:val="007A6B2C"/>
    <w:rsid w:val="007B1448"/>
    <w:rsid w:val="007B1CED"/>
    <w:rsid w:val="007B26C3"/>
    <w:rsid w:val="007B3C19"/>
    <w:rsid w:val="007B4A1B"/>
    <w:rsid w:val="007B581C"/>
    <w:rsid w:val="007B58D4"/>
    <w:rsid w:val="007B63DF"/>
    <w:rsid w:val="007B6A9B"/>
    <w:rsid w:val="007B71F3"/>
    <w:rsid w:val="007C1086"/>
    <w:rsid w:val="007C11BC"/>
    <w:rsid w:val="007C1DF6"/>
    <w:rsid w:val="007C2BD8"/>
    <w:rsid w:val="007C32CC"/>
    <w:rsid w:val="007C36B0"/>
    <w:rsid w:val="007C56A8"/>
    <w:rsid w:val="007C70B4"/>
    <w:rsid w:val="007D0C00"/>
    <w:rsid w:val="007D334F"/>
    <w:rsid w:val="007D41CD"/>
    <w:rsid w:val="007D4D7F"/>
    <w:rsid w:val="007D6871"/>
    <w:rsid w:val="007D72B1"/>
    <w:rsid w:val="007D79E7"/>
    <w:rsid w:val="007D7C02"/>
    <w:rsid w:val="007E0292"/>
    <w:rsid w:val="007E24F3"/>
    <w:rsid w:val="007E35CC"/>
    <w:rsid w:val="007E3AA9"/>
    <w:rsid w:val="007E4262"/>
    <w:rsid w:val="007E6CC2"/>
    <w:rsid w:val="007F02F3"/>
    <w:rsid w:val="007F0930"/>
    <w:rsid w:val="007F0D4B"/>
    <w:rsid w:val="007F0E89"/>
    <w:rsid w:val="007F4295"/>
    <w:rsid w:val="007F5495"/>
    <w:rsid w:val="007F6BD5"/>
    <w:rsid w:val="007F732C"/>
    <w:rsid w:val="007F7970"/>
    <w:rsid w:val="0080170B"/>
    <w:rsid w:val="00802D9A"/>
    <w:rsid w:val="0080324C"/>
    <w:rsid w:val="00811F3F"/>
    <w:rsid w:val="00812B8D"/>
    <w:rsid w:val="00812E92"/>
    <w:rsid w:val="0081622C"/>
    <w:rsid w:val="00817A25"/>
    <w:rsid w:val="00821332"/>
    <w:rsid w:val="008222F5"/>
    <w:rsid w:val="00822CF7"/>
    <w:rsid w:val="008235C5"/>
    <w:rsid w:val="00823E6A"/>
    <w:rsid w:val="0082489B"/>
    <w:rsid w:val="00825D88"/>
    <w:rsid w:val="00826BAD"/>
    <w:rsid w:val="008276C8"/>
    <w:rsid w:val="008304E1"/>
    <w:rsid w:val="00831ED7"/>
    <w:rsid w:val="0083366A"/>
    <w:rsid w:val="00833743"/>
    <w:rsid w:val="00834CBD"/>
    <w:rsid w:val="00835DD9"/>
    <w:rsid w:val="00841680"/>
    <w:rsid w:val="00843CDE"/>
    <w:rsid w:val="00844F1A"/>
    <w:rsid w:val="00846EC1"/>
    <w:rsid w:val="00855BAF"/>
    <w:rsid w:val="00856B00"/>
    <w:rsid w:val="008571C9"/>
    <w:rsid w:val="00857E19"/>
    <w:rsid w:val="00861611"/>
    <w:rsid w:val="00861B43"/>
    <w:rsid w:val="008626B1"/>
    <w:rsid w:val="00862D78"/>
    <w:rsid w:val="00864DDA"/>
    <w:rsid w:val="008652AB"/>
    <w:rsid w:val="00865755"/>
    <w:rsid w:val="00866022"/>
    <w:rsid w:val="0086712D"/>
    <w:rsid w:val="00867C8C"/>
    <w:rsid w:val="00870E99"/>
    <w:rsid w:val="00871BFD"/>
    <w:rsid w:val="00871E1D"/>
    <w:rsid w:val="008720F1"/>
    <w:rsid w:val="00873C98"/>
    <w:rsid w:val="00873DE5"/>
    <w:rsid w:val="00874224"/>
    <w:rsid w:val="0087450B"/>
    <w:rsid w:val="00874C51"/>
    <w:rsid w:val="008767E3"/>
    <w:rsid w:val="008776CC"/>
    <w:rsid w:val="008809D1"/>
    <w:rsid w:val="008813E1"/>
    <w:rsid w:val="00881638"/>
    <w:rsid w:val="0088233A"/>
    <w:rsid w:val="0088273A"/>
    <w:rsid w:val="0088300A"/>
    <w:rsid w:val="0088323C"/>
    <w:rsid w:val="0088341F"/>
    <w:rsid w:val="00885208"/>
    <w:rsid w:val="00887EE7"/>
    <w:rsid w:val="008907DB"/>
    <w:rsid w:val="00891324"/>
    <w:rsid w:val="00891F33"/>
    <w:rsid w:val="00893638"/>
    <w:rsid w:val="00895AD2"/>
    <w:rsid w:val="0089784D"/>
    <w:rsid w:val="00897C0C"/>
    <w:rsid w:val="00897C19"/>
    <w:rsid w:val="008A08B4"/>
    <w:rsid w:val="008A1D98"/>
    <w:rsid w:val="008A5AB6"/>
    <w:rsid w:val="008A7FA3"/>
    <w:rsid w:val="008B0129"/>
    <w:rsid w:val="008B2116"/>
    <w:rsid w:val="008B2839"/>
    <w:rsid w:val="008B2C92"/>
    <w:rsid w:val="008B37C6"/>
    <w:rsid w:val="008B3D46"/>
    <w:rsid w:val="008B4B5A"/>
    <w:rsid w:val="008B57D2"/>
    <w:rsid w:val="008B5986"/>
    <w:rsid w:val="008B6606"/>
    <w:rsid w:val="008B6DE6"/>
    <w:rsid w:val="008B6F0D"/>
    <w:rsid w:val="008B78B2"/>
    <w:rsid w:val="008B7936"/>
    <w:rsid w:val="008B7E03"/>
    <w:rsid w:val="008C268E"/>
    <w:rsid w:val="008C3256"/>
    <w:rsid w:val="008C32EE"/>
    <w:rsid w:val="008C4A41"/>
    <w:rsid w:val="008C692C"/>
    <w:rsid w:val="008D0761"/>
    <w:rsid w:val="008D0CAD"/>
    <w:rsid w:val="008D13D4"/>
    <w:rsid w:val="008D46BB"/>
    <w:rsid w:val="008D48C8"/>
    <w:rsid w:val="008D4AFC"/>
    <w:rsid w:val="008D6414"/>
    <w:rsid w:val="008D6BC6"/>
    <w:rsid w:val="008E0004"/>
    <w:rsid w:val="008E0580"/>
    <w:rsid w:val="008E0D07"/>
    <w:rsid w:val="008E10C0"/>
    <w:rsid w:val="008E1EFE"/>
    <w:rsid w:val="008E2628"/>
    <w:rsid w:val="008E3EF5"/>
    <w:rsid w:val="008E4962"/>
    <w:rsid w:val="008E5162"/>
    <w:rsid w:val="008E6C06"/>
    <w:rsid w:val="008E7D47"/>
    <w:rsid w:val="008F10EB"/>
    <w:rsid w:val="008F141E"/>
    <w:rsid w:val="008F2676"/>
    <w:rsid w:val="008F286F"/>
    <w:rsid w:val="008F2DBF"/>
    <w:rsid w:val="008F4A18"/>
    <w:rsid w:val="008F6125"/>
    <w:rsid w:val="009067B4"/>
    <w:rsid w:val="00906E46"/>
    <w:rsid w:val="00906EEB"/>
    <w:rsid w:val="00907430"/>
    <w:rsid w:val="009111E8"/>
    <w:rsid w:val="009128E7"/>
    <w:rsid w:val="009145CA"/>
    <w:rsid w:val="00914940"/>
    <w:rsid w:val="009150E8"/>
    <w:rsid w:val="00920134"/>
    <w:rsid w:val="00920425"/>
    <w:rsid w:val="0092081E"/>
    <w:rsid w:val="0092237B"/>
    <w:rsid w:val="00923279"/>
    <w:rsid w:val="00923671"/>
    <w:rsid w:val="00924E64"/>
    <w:rsid w:val="00925333"/>
    <w:rsid w:val="00926A4B"/>
    <w:rsid w:val="00926B58"/>
    <w:rsid w:val="00927E10"/>
    <w:rsid w:val="009300B2"/>
    <w:rsid w:val="0093045D"/>
    <w:rsid w:val="00931758"/>
    <w:rsid w:val="00933249"/>
    <w:rsid w:val="00933A50"/>
    <w:rsid w:val="00934372"/>
    <w:rsid w:val="00934F1F"/>
    <w:rsid w:val="00936081"/>
    <w:rsid w:val="00936359"/>
    <w:rsid w:val="00936E50"/>
    <w:rsid w:val="009431DB"/>
    <w:rsid w:val="00944C87"/>
    <w:rsid w:val="00945193"/>
    <w:rsid w:val="009454F6"/>
    <w:rsid w:val="00945E77"/>
    <w:rsid w:val="00946886"/>
    <w:rsid w:val="00947BA3"/>
    <w:rsid w:val="00950A54"/>
    <w:rsid w:val="00952D47"/>
    <w:rsid w:val="00953497"/>
    <w:rsid w:val="00954016"/>
    <w:rsid w:val="00954422"/>
    <w:rsid w:val="009573F3"/>
    <w:rsid w:val="00960A5F"/>
    <w:rsid w:val="0096114B"/>
    <w:rsid w:val="00961AF1"/>
    <w:rsid w:val="0096208B"/>
    <w:rsid w:val="00962185"/>
    <w:rsid w:val="009629D5"/>
    <w:rsid w:val="009633C5"/>
    <w:rsid w:val="009634C4"/>
    <w:rsid w:val="009638B9"/>
    <w:rsid w:val="0096411D"/>
    <w:rsid w:val="00964588"/>
    <w:rsid w:val="00964F40"/>
    <w:rsid w:val="009656D9"/>
    <w:rsid w:val="00966008"/>
    <w:rsid w:val="00967AB6"/>
    <w:rsid w:val="00967CA5"/>
    <w:rsid w:val="00970B45"/>
    <w:rsid w:val="009719FC"/>
    <w:rsid w:val="00974767"/>
    <w:rsid w:val="00974D84"/>
    <w:rsid w:val="00975AE0"/>
    <w:rsid w:val="00975F4B"/>
    <w:rsid w:val="00980278"/>
    <w:rsid w:val="0098368E"/>
    <w:rsid w:val="00985267"/>
    <w:rsid w:val="0098676C"/>
    <w:rsid w:val="00986907"/>
    <w:rsid w:val="0099074B"/>
    <w:rsid w:val="0099148F"/>
    <w:rsid w:val="009917F8"/>
    <w:rsid w:val="009919A5"/>
    <w:rsid w:val="00991A45"/>
    <w:rsid w:val="0099254C"/>
    <w:rsid w:val="00992780"/>
    <w:rsid w:val="00993152"/>
    <w:rsid w:val="009934A5"/>
    <w:rsid w:val="00993B65"/>
    <w:rsid w:val="00994F65"/>
    <w:rsid w:val="00996E17"/>
    <w:rsid w:val="009970F3"/>
    <w:rsid w:val="0099775E"/>
    <w:rsid w:val="009A2332"/>
    <w:rsid w:val="009A41C6"/>
    <w:rsid w:val="009A45DE"/>
    <w:rsid w:val="009A64DD"/>
    <w:rsid w:val="009A759D"/>
    <w:rsid w:val="009A7CB9"/>
    <w:rsid w:val="009B1994"/>
    <w:rsid w:val="009B1D16"/>
    <w:rsid w:val="009B2394"/>
    <w:rsid w:val="009B249E"/>
    <w:rsid w:val="009B2896"/>
    <w:rsid w:val="009B305B"/>
    <w:rsid w:val="009B3FA1"/>
    <w:rsid w:val="009B4D21"/>
    <w:rsid w:val="009B5ADF"/>
    <w:rsid w:val="009B5D56"/>
    <w:rsid w:val="009B5E9D"/>
    <w:rsid w:val="009B5F23"/>
    <w:rsid w:val="009B6494"/>
    <w:rsid w:val="009C0436"/>
    <w:rsid w:val="009C0688"/>
    <w:rsid w:val="009C08F0"/>
    <w:rsid w:val="009C1254"/>
    <w:rsid w:val="009C1D94"/>
    <w:rsid w:val="009C29E9"/>
    <w:rsid w:val="009C31AE"/>
    <w:rsid w:val="009C4108"/>
    <w:rsid w:val="009C44E5"/>
    <w:rsid w:val="009C4EC8"/>
    <w:rsid w:val="009C517B"/>
    <w:rsid w:val="009C664C"/>
    <w:rsid w:val="009C6AE2"/>
    <w:rsid w:val="009C6EB5"/>
    <w:rsid w:val="009C7245"/>
    <w:rsid w:val="009C7756"/>
    <w:rsid w:val="009D137B"/>
    <w:rsid w:val="009D245E"/>
    <w:rsid w:val="009D3574"/>
    <w:rsid w:val="009D3B77"/>
    <w:rsid w:val="009D412C"/>
    <w:rsid w:val="009D4BB4"/>
    <w:rsid w:val="009D56F8"/>
    <w:rsid w:val="009D5FA7"/>
    <w:rsid w:val="009D6948"/>
    <w:rsid w:val="009D72C2"/>
    <w:rsid w:val="009D745B"/>
    <w:rsid w:val="009D7709"/>
    <w:rsid w:val="009D7D1E"/>
    <w:rsid w:val="009E1E36"/>
    <w:rsid w:val="009E1FDF"/>
    <w:rsid w:val="009E2792"/>
    <w:rsid w:val="009E2A26"/>
    <w:rsid w:val="009E2AC4"/>
    <w:rsid w:val="009E2C84"/>
    <w:rsid w:val="009E375F"/>
    <w:rsid w:val="009E3B63"/>
    <w:rsid w:val="009E3FC2"/>
    <w:rsid w:val="009E4650"/>
    <w:rsid w:val="009E6869"/>
    <w:rsid w:val="009E7227"/>
    <w:rsid w:val="009F06BE"/>
    <w:rsid w:val="009F0877"/>
    <w:rsid w:val="009F0CFA"/>
    <w:rsid w:val="009F174A"/>
    <w:rsid w:val="009F1A05"/>
    <w:rsid w:val="009F200E"/>
    <w:rsid w:val="009F2C3E"/>
    <w:rsid w:val="009F2DD9"/>
    <w:rsid w:val="009F2E21"/>
    <w:rsid w:val="009F2F8A"/>
    <w:rsid w:val="009F6EFF"/>
    <w:rsid w:val="009F7216"/>
    <w:rsid w:val="009F7420"/>
    <w:rsid w:val="009F7941"/>
    <w:rsid w:val="00A005A4"/>
    <w:rsid w:val="00A01EBF"/>
    <w:rsid w:val="00A0211B"/>
    <w:rsid w:val="00A03715"/>
    <w:rsid w:val="00A05033"/>
    <w:rsid w:val="00A061F4"/>
    <w:rsid w:val="00A07274"/>
    <w:rsid w:val="00A103DA"/>
    <w:rsid w:val="00A104B1"/>
    <w:rsid w:val="00A10B2D"/>
    <w:rsid w:val="00A11F97"/>
    <w:rsid w:val="00A14276"/>
    <w:rsid w:val="00A14B92"/>
    <w:rsid w:val="00A157B4"/>
    <w:rsid w:val="00A15BEF"/>
    <w:rsid w:val="00A17BB2"/>
    <w:rsid w:val="00A17C05"/>
    <w:rsid w:val="00A17F52"/>
    <w:rsid w:val="00A20003"/>
    <w:rsid w:val="00A2020D"/>
    <w:rsid w:val="00A2041F"/>
    <w:rsid w:val="00A23CF2"/>
    <w:rsid w:val="00A255F4"/>
    <w:rsid w:val="00A25C8E"/>
    <w:rsid w:val="00A266CC"/>
    <w:rsid w:val="00A2750C"/>
    <w:rsid w:val="00A3221B"/>
    <w:rsid w:val="00A3368C"/>
    <w:rsid w:val="00A336D0"/>
    <w:rsid w:val="00A4005F"/>
    <w:rsid w:val="00A41300"/>
    <w:rsid w:val="00A4233B"/>
    <w:rsid w:val="00A435F9"/>
    <w:rsid w:val="00A447A7"/>
    <w:rsid w:val="00A44F37"/>
    <w:rsid w:val="00A4554E"/>
    <w:rsid w:val="00A461F2"/>
    <w:rsid w:val="00A4708E"/>
    <w:rsid w:val="00A4759C"/>
    <w:rsid w:val="00A476B4"/>
    <w:rsid w:val="00A47C3C"/>
    <w:rsid w:val="00A47F6A"/>
    <w:rsid w:val="00A50628"/>
    <w:rsid w:val="00A507F8"/>
    <w:rsid w:val="00A51B40"/>
    <w:rsid w:val="00A52161"/>
    <w:rsid w:val="00A52D25"/>
    <w:rsid w:val="00A54872"/>
    <w:rsid w:val="00A54D4F"/>
    <w:rsid w:val="00A55BD3"/>
    <w:rsid w:val="00A57627"/>
    <w:rsid w:val="00A60B3B"/>
    <w:rsid w:val="00A61637"/>
    <w:rsid w:val="00A618D2"/>
    <w:rsid w:val="00A62641"/>
    <w:rsid w:val="00A630E4"/>
    <w:rsid w:val="00A643BD"/>
    <w:rsid w:val="00A646CA"/>
    <w:rsid w:val="00A66624"/>
    <w:rsid w:val="00A67660"/>
    <w:rsid w:val="00A70011"/>
    <w:rsid w:val="00A701FB"/>
    <w:rsid w:val="00A70703"/>
    <w:rsid w:val="00A7244E"/>
    <w:rsid w:val="00A75D9A"/>
    <w:rsid w:val="00A76FFD"/>
    <w:rsid w:val="00A7713D"/>
    <w:rsid w:val="00A81075"/>
    <w:rsid w:val="00A834A1"/>
    <w:rsid w:val="00A84056"/>
    <w:rsid w:val="00A846C4"/>
    <w:rsid w:val="00A853DC"/>
    <w:rsid w:val="00A86380"/>
    <w:rsid w:val="00A86409"/>
    <w:rsid w:val="00A86D87"/>
    <w:rsid w:val="00A8739E"/>
    <w:rsid w:val="00A906F6"/>
    <w:rsid w:val="00A92E54"/>
    <w:rsid w:val="00A93B9F"/>
    <w:rsid w:val="00A94161"/>
    <w:rsid w:val="00A94C9D"/>
    <w:rsid w:val="00A94FAC"/>
    <w:rsid w:val="00A95629"/>
    <w:rsid w:val="00A97F4C"/>
    <w:rsid w:val="00AA0B78"/>
    <w:rsid w:val="00AA16AD"/>
    <w:rsid w:val="00AA1B10"/>
    <w:rsid w:val="00AA2267"/>
    <w:rsid w:val="00AA229B"/>
    <w:rsid w:val="00AA3AC7"/>
    <w:rsid w:val="00AA40AA"/>
    <w:rsid w:val="00AA46BB"/>
    <w:rsid w:val="00AA5202"/>
    <w:rsid w:val="00AA528D"/>
    <w:rsid w:val="00AA6382"/>
    <w:rsid w:val="00AB0A03"/>
    <w:rsid w:val="00AB1236"/>
    <w:rsid w:val="00AB2EE3"/>
    <w:rsid w:val="00AB3B60"/>
    <w:rsid w:val="00AB471B"/>
    <w:rsid w:val="00AB5507"/>
    <w:rsid w:val="00AB5657"/>
    <w:rsid w:val="00AB5C02"/>
    <w:rsid w:val="00AB6BC2"/>
    <w:rsid w:val="00AB7FA7"/>
    <w:rsid w:val="00AC09C8"/>
    <w:rsid w:val="00AC185D"/>
    <w:rsid w:val="00AC2B76"/>
    <w:rsid w:val="00AC3181"/>
    <w:rsid w:val="00AC35FD"/>
    <w:rsid w:val="00AC3EC3"/>
    <w:rsid w:val="00AC78B2"/>
    <w:rsid w:val="00AD08A8"/>
    <w:rsid w:val="00AD10C4"/>
    <w:rsid w:val="00AD1181"/>
    <w:rsid w:val="00AE33E6"/>
    <w:rsid w:val="00AE3401"/>
    <w:rsid w:val="00AE4233"/>
    <w:rsid w:val="00AE585B"/>
    <w:rsid w:val="00AE6BE6"/>
    <w:rsid w:val="00AE779D"/>
    <w:rsid w:val="00AE7D21"/>
    <w:rsid w:val="00AF1867"/>
    <w:rsid w:val="00AF1D5D"/>
    <w:rsid w:val="00AF223D"/>
    <w:rsid w:val="00AF29D8"/>
    <w:rsid w:val="00AF31A7"/>
    <w:rsid w:val="00AF3882"/>
    <w:rsid w:val="00AF4752"/>
    <w:rsid w:val="00AF54DA"/>
    <w:rsid w:val="00AF564F"/>
    <w:rsid w:val="00AF598B"/>
    <w:rsid w:val="00AF5C29"/>
    <w:rsid w:val="00AF6CE9"/>
    <w:rsid w:val="00AF7456"/>
    <w:rsid w:val="00B01314"/>
    <w:rsid w:val="00B023CA"/>
    <w:rsid w:val="00B025DA"/>
    <w:rsid w:val="00B03689"/>
    <w:rsid w:val="00B03A76"/>
    <w:rsid w:val="00B05077"/>
    <w:rsid w:val="00B06251"/>
    <w:rsid w:val="00B06CF5"/>
    <w:rsid w:val="00B07263"/>
    <w:rsid w:val="00B1043A"/>
    <w:rsid w:val="00B10C3F"/>
    <w:rsid w:val="00B10E37"/>
    <w:rsid w:val="00B10EF8"/>
    <w:rsid w:val="00B125BF"/>
    <w:rsid w:val="00B13CA1"/>
    <w:rsid w:val="00B14AEC"/>
    <w:rsid w:val="00B14D39"/>
    <w:rsid w:val="00B16009"/>
    <w:rsid w:val="00B17241"/>
    <w:rsid w:val="00B17BCD"/>
    <w:rsid w:val="00B20AC1"/>
    <w:rsid w:val="00B20BF6"/>
    <w:rsid w:val="00B21D8A"/>
    <w:rsid w:val="00B2227E"/>
    <w:rsid w:val="00B22569"/>
    <w:rsid w:val="00B235D9"/>
    <w:rsid w:val="00B23737"/>
    <w:rsid w:val="00B2499D"/>
    <w:rsid w:val="00B255D5"/>
    <w:rsid w:val="00B26157"/>
    <w:rsid w:val="00B26C1D"/>
    <w:rsid w:val="00B30705"/>
    <w:rsid w:val="00B30965"/>
    <w:rsid w:val="00B30A33"/>
    <w:rsid w:val="00B3284D"/>
    <w:rsid w:val="00B32BE7"/>
    <w:rsid w:val="00B32C9B"/>
    <w:rsid w:val="00B330F2"/>
    <w:rsid w:val="00B3382D"/>
    <w:rsid w:val="00B34629"/>
    <w:rsid w:val="00B34A8C"/>
    <w:rsid w:val="00B3534B"/>
    <w:rsid w:val="00B37E17"/>
    <w:rsid w:val="00B410E5"/>
    <w:rsid w:val="00B41B64"/>
    <w:rsid w:val="00B42684"/>
    <w:rsid w:val="00B426AD"/>
    <w:rsid w:val="00B42721"/>
    <w:rsid w:val="00B42DB3"/>
    <w:rsid w:val="00B42F95"/>
    <w:rsid w:val="00B43280"/>
    <w:rsid w:val="00B45388"/>
    <w:rsid w:val="00B453CB"/>
    <w:rsid w:val="00B45D0B"/>
    <w:rsid w:val="00B465EF"/>
    <w:rsid w:val="00B46A3E"/>
    <w:rsid w:val="00B46C09"/>
    <w:rsid w:val="00B474C8"/>
    <w:rsid w:val="00B505BD"/>
    <w:rsid w:val="00B52DCB"/>
    <w:rsid w:val="00B52FAE"/>
    <w:rsid w:val="00B54889"/>
    <w:rsid w:val="00B54EEB"/>
    <w:rsid w:val="00B55AB8"/>
    <w:rsid w:val="00B56F54"/>
    <w:rsid w:val="00B574C8"/>
    <w:rsid w:val="00B57BFE"/>
    <w:rsid w:val="00B60B56"/>
    <w:rsid w:val="00B629A2"/>
    <w:rsid w:val="00B6325D"/>
    <w:rsid w:val="00B63294"/>
    <w:rsid w:val="00B63D53"/>
    <w:rsid w:val="00B64A20"/>
    <w:rsid w:val="00B65414"/>
    <w:rsid w:val="00B65FC9"/>
    <w:rsid w:val="00B67E54"/>
    <w:rsid w:val="00B709DB"/>
    <w:rsid w:val="00B71B38"/>
    <w:rsid w:val="00B72D7A"/>
    <w:rsid w:val="00B72F00"/>
    <w:rsid w:val="00B73D8E"/>
    <w:rsid w:val="00B7473B"/>
    <w:rsid w:val="00B74B80"/>
    <w:rsid w:val="00B74F79"/>
    <w:rsid w:val="00B75F16"/>
    <w:rsid w:val="00B77811"/>
    <w:rsid w:val="00B8012D"/>
    <w:rsid w:val="00B81DEE"/>
    <w:rsid w:val="00B8260D"/>
    <w:rsid w:val="00B85862"/>
    <w:rsid w:val="00B86FAB"/>
    <w:rsid w:val="00B87973"/>
    <w:rsid w:val="00B87EB0"/>
    <w:rsid w:val="00B87FAB"/>
    <w:rsid w:val="00B90704"/>
    <w:rsid w:val="00B90D4D"/>
    <w:rsid w:val="00B92032"/>
    <w:rsid w:val="00B92B85"/>
    <w:rsid w:val="00B92C6E"/>
    <w:rsid w:val="00B9346C"/>
    <w:rsid w:val="00B947E7"/>
    <w:rsid w:val="00B94B17"/>
    <w:rsid w:val="00B94C11"/>
    <w:rsid w:val="00B96C9D"/>
    <w:rsid w:val="00B9791F"/>
    <w:rsid w:val="00BA0124"/>
    <w:rsid w:val="00BA1A75"/>
    <w:rsid w:val="00BA3786"/>
    <w:rsid w:val="00BA4341"/>
    <w:rsid w:val="00BA4566"/>
    <w:rsid w:val="00BA4AEB"/>
    <w:rsid w:val="00BA6B54"/>
    <w:rsid w:val="00BA70CC"/>
    <w:rsid w:val="00BA72B6"/>
    <w:rsid w:val="00BA7663"/>
    <w:rsid w:val="00BA7A70"/>
    <w:rsid w:val="00BA7D5E"/>
    <w:rsid w:val="00BB080E"/>
    <w:rsid w:val="00BB1314"/>
    <w:rsid w:val="00BB17C1"/>
    <w:rsid w:val="00BB2084"/>
    <w:rsid w:val="00BB21DE"/>
    <w:rsid w:val="00BB2FBF"/>
    <w:rsid w:val="00BB5E53"/>
    <w:rsid w:val="00BB790B"/>
    <w:rsid w:val="00BC11E4"/>
    <w:rsid w:val="00BC16C5"/>
    <w:rsid w:val="00BC1AE9"/>
    <w:rsid w:val="00BC2CFC"/>
    <w:rsid w:val="00BC321E"/>
    <w:rsid w:val="00BC5BA0"/>
    <w:rsid w:val="00BC62FF"/>
    <w:rsid w:val="00BC71DC"/>
    <w:rsid w:val="00BC734A"/>
    <w:rsid w:val="00BD021D"/>
    <w:rsid w:val="00BD1650"/>
    <w:rsid w:val="00BD2C0F"/>
    <w:rsid w:val="00BD35C7"/>
    <w:rsid w:val="00BD5870"/>
    <w:rsid w:val="00BD687D"/>
    <w:rsid w:val="00BE10B1"/>
    <w:rsid w:val="00BE1FFC"/>
    <w:rsid w:val="00BE22E2"/>
    <w:rsid w:val="00BE2477"/>
    <w:rsid w:val="00BE3028"/>
    <w:rsid w:val="00BE358D"/>
    <w:rsid w:val="00BE38EA"/>
    <w:rsid w:val="00BE5725"/>
    <w:rsid w:val="00BE5FBF"/>
    <w:rsid w:val="00BE7747"/>
    <w:rsid w:val="00BF003B"/>
    <w:rsid w:val="00BF1590"/>
    <w:rsid w:val="00BF1D06"/>
    <w:rsid w:val="00BF24A4"/>
    <w:rsid w:val="00BF35D3"/>
    <w:rsid w:val="00BF425F"/>
    <w:rsid w:val="00BF4322"/>
    <w:rsid w:val="00BF5743"/>
    <w:rsid w:val="00BF735E"/>
    <w:rsid w:val="00C01A38"/>
    <w:rsid w:val="00C02BD4"/>
    <w:rsid w:val="00C03864"/>
    <w:rsid w:val="00C03CD9"/>
    <w:rsid w:val="00C04200"/>
    <w:rsid w:val="00C047FA"/>
    <w:rsid w:val="00C07417"/>
    <w:rsid w:val="00C10E78"/>
    <w:rsid w:val="00C141D5"/>
    <w:rsid w:val="00C1779A"/>
    <w:rsid w:val="00C2046C"/>
    <w:rsid w:val="00C21FC3"/>
    <w:rsid w:val="00C2339E"/>
    <w:rsid w:val="00C23627"/>
    <w:rsid w:val="00C239A3"/>
    <w:rsid w:val="00C23A4B"/>
    <w:rsid w:val="00C2427B"/>
    <w:rsid w:val="00C2541A"/>
    <w:rsid w:val="00C258FC"/>
    <w:rsid w:val="00C25BEB"/>
    <w:rsid w:val="00C301F3"/>
    <w:rsid w:val="00C31C58"/>
    <w:rsid w:val="00C33C86"/>
    <w:rsid w:val="00C33CE5"/>
    <w:rsid w:val="00C36545"/>
    <w:rsid w:val="00C40A1F"/>
    <w:rsid w:val="00C40BEC"/>
    <w:rsid w:val="00C4235F"/>
    <w:rsid w:val="00C42EAF"/>
    <w:rsid w:val="00C4380B"/>
    <w:rsid w:val="00C46135"/>
    <w:rsid w:val="00C46FCF"/>
    <w:rsid w:val="00C50422"/>
    <w:rsid w:val="00C514AA"/>
    <w:rsid w:val="00C54E34"/>
    <w:rsid w:val="00C567AF"/>
    <w:rsid w:val="00C56DA9"/>
    <w:rsid w:val="00C6042A"/>
    <w:rsid w:val="00C6070B"/>
    <w:rsid w:val="00C62F75"/>
    <w:rsid w:val="00C63412"/>
    <w:rsid w:val="00C63EC2"/>
    <w:rsid w:val="00C642DB"/>
    <w:rsid w:val="00C64A71"/>
    <w:rsid w:val="00C64EFE"/>
    <w:rsid w:val="00C6751D"/>
    <w:rsid w:val="00C67CA2"/>
    <w:rsid w:val="00C71375"/>
    <w:rsid w:val="00C71D0F"/>
    <w:rsid w:val="00C7371E"/>
    <w:rsid w:val="00C73A5C"/>
    <w:rsid w:val="00C7440F"/>
    <w:rsid w:val="00C746D8"/>
    <w:rsid w:val="00C74F35"/>
    <w:rsid w:val="00C76084"/>
    <w:rsid w:val="00C76374"/>
    <w:rsid w:val="00C77599"/>
    <w:rsid w:val="00C81938"/>
    <w:rsid w:val="00C81AF1"/>
    <w:rsid w:val="00C82793"/>
    <w:rsid w:val="00C83244"/>
    <w:rsid w:val="00C8347C"/>
    <w:rsid w:val="00C8406E"/>
    <w:rsid w:val="00C86162"/>
    <w:rsid w:val="00C86283"/>
    <w:rsid w:val="00C87F19"/>
    <w:rsid w:val="00C9194C"/>
    <w:rsid w:val="00C91C69"/>
    <w:rsid w:val="00C91F33"/>
    <w:rsid w:val="00C921A0"/>
    <w:rsid w:val="00C928F1"/>
    <w:rsid w:val="00C938C2"/>
    <w:rsid w:val="00C94656"/>
    <w:rsid w:val="00C94F0F"/>
    <w:rsid w:val="00C962BE"/>
    <w:rsid w:val="00C9664E"/>
    <w:rsid w:val="00C96AA9"/>
    <w:rsid w:val="00CA0306"/>
    <w:rsid w:val="00CA0596"/>
    <w:rsid w:val="00CA116B"/>
    <w:rsid w:val="00CA2AEB"/>
    <w:rsid w:val="00CA492F"/>
    <w:rsid w:val="00CA7B5B"/>
    <w:rsid w:val="00CB155D"/>
    <w:rsid w:val="00CB227F"/>
    <w:rsid w:val="00CB27E9"/>
    <w:rsid w:val="00CB3D66"/>
    <w:rsid w:val="00CB6234"/>
    <w:rsid w:val="00CB7241"/>
    <w:rsid w:val="00CC2617"/>
    <w:rsid w:val="00CC2675"/>
    <w:rsid w:val="00CC2E0B"/>
    <w:rsid w:val="00CC37AC"/>
    <w:rsid w:val="00CC4F3F"/>
    <w:rsid w:val="00CC5471"/>
    <w:rsid w:val="00CC597B"/>
    <w:rsid w:val="00CC601D"/>
    <w:rsid w:val="00CC62B4"/>
    <w:rsid w:val="00CC7ECE"/>
    <w:rsid w:val="00CD0FA0"/>
    <w:rsid w:val="00CD13EA"/>
    <w:rsid w:val="00CD18E9"/>
    <w:rsid w:val="00CD1DB5"/>
    <w:rsid w:val="00CD305B"/>
    <w:rsid w:val="00CD30FE"/>
    <w:rsid w:val="00CD4496"/>
    <w:rsid w:val="00CE18E2"/>
    <w:rsid w:val="00CE1B75"/>
    <w:rsid w:val="00CE20AA"/>
    <w:rsid w:val="00CE2D37"/>
    <w:rsid w:val="00CE36E8"/>
    <w:rsid w:val="00CE3BE9"/>
    <w:rsid w:val="00CE41B7"/>
    <w:rsid w:val="00CE4413"/>
    <w:rsid w:val="00CE55FE"/>
    <w:rsid w:val="00CE5FCF"/>
    <w:rsid w:val="00CE7353"/>
    <w:rsid w:val="00CE7408"/>
    <w:rsid w:val="00CF0CF4"/>
    <w:rsid w:val="00CF1427"/>
    <w:rsid w:val="00CF156E"/>
    <w:rsid w:val="00CF331D"/>
    <w:rsid w:val="00CF36C0"/>
    <w:rsid w:val="00CF38E8"/>
    <w:rsid w:val="00CF394D"/>
    <w:rsid w:val="00CF47E7"/>
    <w:rsid w:val="00CF584F"/>
    <w:rsid w:val="00CF588E"/>
    <w:rsid w:val="00CF718C"/>
    <w:rsid w:val="00D0018F"/>
    <w:rsid w:val="00D005FC"/>
    <w:rsid w:val="00D01432"/>
    <w:rsid w:val="00D03C88"/>
    <w:rsid w:val="00D0476B"/>
    <w:rsid w:val="00D047F2"/>
    <w:rsid w:val="00D04821"/>
    <w:rsid w:val="00D05544"/>
    <w:rsid w:val="00D07287"/>
    <w:rsid w:val="00D111D6"/>
    <w:rsid w:val="00D115A5"/>
    <w:rsid w:val="00D11E31"/>
    <w:rsid w:val="00D11EC3"/>
    <w:rsid w:val="00D1331D"/>
    <w:rsid w:val="00D13B1A"/>
    <w:rsid w:val="00D13B4A"/>
    <w:rsid w:val="00D14FA6"/>
    <w:rsid w:val="00D15A42"/>
    <w:rsid w:val="00D15F9A"/>
    <w:rsid w:val="00D16E73"/>
    <w:rsid w:val="00D20C43"/>
    <w:rsid w:val="00D20DA7"/>
    <w:rsid w:val="00D20F5C"/>
    <w:rsid w:val="00D23EE9"/>
    <w:rsid w:val="00D24472"/>
    <w:rsid w:val="00D26B83"/>
    <w:rsid w:val="00D26D9D"/>
    <w:rsid w:val="00D270DE"/>
    <w:rsid w:val="00D27457"/>
    <w:rsid w:val="00D27D0D"/>
    <w:rsid w:val="00D309EF"/>
    <w:rsid w:val="00D30F10"/>
    <w:rsid w:val="00D325B7"/>
    <w:rsid w:val="00D32A56"/>
    <w:rsid w:val="00D33829"/>
    <w:rsid w:val="00D3393A"/>
    <w:rsid w:val="00D33A76"/>
    <w:rsid w:val="00D33B34"/>
    <w:rsid w:val="00D33D4C"/>
    <w:rsid w:val="00D341B7"/>
    <w:rsid w:val="00D37191"/>
    <w:rsid w:val="00D3737E"/>
    <w:rsid w:val="00D40551"/>
    <w:rsid w:val="00D4088C"/>
    <w:rsid w:val="00D41ADF"/>
    <w:rsid w:val="00D42043"/>
    <w:rsid w:val="00D4269E"/>
    <w:rsid w:val="00D43EF6"/>
    <w:rsid w:val="00D44AE4"/>
    <w:rsid w:val="00D468F8"/>
    <w:rsid w:val="00D4695A"/>
    <w:rsid w:val="00D47889"/>
    <w:rsid w:val="00D50935"/>
    <w:rsid w:val="00D51347"/>
    <w:rsid w:val="00D5168C"/>
    <w:rsid w:val="00D51A8B"/>
    <w:rsid w:val="00D52E31"/>
    <w:rsid w:val="00D52E9B"/>
    <w:rsid w:val="00D5445D"/>
    <w:rsid w:val="00D546F6"/>
    <w:rsid w:val="00D54BE5"/>
    <w:rsid w:val="00D5518C"/>
    <w:rsid w:val="00D55D87"/>
    <w:rsid w:val="00D5687C"/>
    <w:rsid w:val="00D56DD2"/>
    <w:rsid w:val="00D57483"/>
    <w:rsid w:val="00D57832"/>
    <w:rsid w:val="00D57E4C"/>
    <w:rsid w:val="00D57FFE"/>
    <w:rsid w:val="00D60853"/>
    <w:rsid w:val="00D628C1"/>
    <w:rsid w:val="00D62FF0"/>
    <w:rsid w:val="00D63434"/>
    <w:rsid w:val="00D636E3"/>
    <w:rsid w:val="00D65875"/>
    <w:rsid w:val="00D66EB1"/>
    <w:rsid w:val="00D66FAD"/>
    <w:rsid w:val="00D679AA"/>
    <w:rsid w:val="00D67E86"/>
    <w:rsid w:val="00D714CC"/>
    <w:rsid w:val="00D71940"/>
    <w:rsid w:val="00D71B59"/>
    <w:rsid w:val="00D7344C"/>
    <w:rsid w:val="00D739EC"/>
    <w:rsid w:val="00D74F5A"/>
    <w:rsid w:val="00D809E5"/>
    <w:rsid w:val="00D8138F"/>
    <w:rsid w:val="00D8225B"/>
    <w:rsid w:val="00D8290E"/>
    <w:rsid w:val="00D839A4"/>
    <w:rsid w:val="00D83C1B"/>
    <w:rsid w:val="00D84226"/>
    <w:rsid w:val="00D84308"/>
    <w:rsid w:val="00D85BA6"/>
    <w:rsid w:val="00D86549"/>
    <w:rsid w:val="00D8698A"/>
    <w:rsid w:val="00D86A18"/>
    <w:rsid w:val="00D8733E"/>
    <w:rsid w:val="00D877AF"/>
    <w:rsid w:val="00D90204"/>
    <w:rsid w:val="00D94522"/>
    <w:rsid w:val="00D94CBC"/>
    <w:rsid w:val="00D97704"/>
    <w:rsid w:val="00D979BF"/>
    <w:rsid w:val="00D97C6D"/>
    <w:rsid w:val="00DA219D"/>
    <w:rsid w:val="00DA298D"/>
    <w:rsid w:val="00DA343F"/>
    <w:rsid w:val="00DA3936"/>
    <w:rsid w:val="00DA3C66"/>
    <w:rsid w:val="00DA4858"/>
    <w:rsid w:val="00DA5466"/>
    <w:rsid w:val="00DA5C3B"/>
    <w:rsid w:val="00DA5C4A"/>
    <w:rsid w:val="00DA5ECF"/>
    <w:rsid w:val="00DA623E"/>
    <w:rsid w:val="00DB27E0"/>
    <w:rsid w:val="00DB4BC2"/>
    <w:rsid w:val="00DB4C31"/>
    <w:rsid w:val="00DB6911"/>
    <w:rsid w:val="00DB6DB3"/>
    <w:rsid w:val="00DB7524"/>
    <w:rsid w:val="00DB7F57"/>
    <w:rsid w:val="00DC05E9"/>
    <w:rsid w:val="00DC1C51"/>
    <w:rsid w:val="00DC2989"/>
    <w:rsid w:val="00DC2CF9"/>
    <w:rsid w:val="00DC35F6"/>
    <w:rsid w:val="00DC3D7F"/>
    <w:rsid w:val="00DC4045"/>
    <w:rsid w:val="00DC6F5F"/>
    <w:rsid w:val="00DD03D1"/>
    <w:rsid w:val="00DD221E"/>
    <w:rsid w:val="00DD2442"/>
    <w:rsid w:val="00DD2806"/>
    <w:rsid w:val="00DD3463"/>
    <w:rsid w:val="00DD4138"/>
    <w:rsid w:val="00DD4A50"/>
    <w:rsid w:val="00DD6659"/>
    <w:rsid w:val="00DE03E3"/>
    <w:rsid w:val="00DE06D8"/>
    <w:rsid w:val="00DE1287"/>
    <w:rsid w:val="00DE5063"/>
    <w:rsid w:val="00DE59A4"/>
    <w:rsid w:val="00DE69AF"/>
    <w:rsid w:val="00DE6F38"/>
    <w:rsid w:val="00DE7315"/>
    <w:rsid w:val="00DE75A9"/>
    <w:rsid w:val="00DF03C1"/>
    <w:rsid w:val="00DF1173"/>
    <w:rsid w:val="00DF36F6"/>
    <w:rsid w:val="00DF46EF"/>
    <w:rsid w:val="00DF486A"/>
    <w:rsid w:val="00DF498E"/>
    <w:rsid w:val="00DF4EE7"/>
    <w:rsid w:val="00DF561C"/>
    <w:rsid w:val="00DF57D2"/>
    <w:rsid w:val="00DF6433"/>
    <w:rsid w:val="00E00E54"/>
    <w:rsid w:val="00E01351"/>
    <w:rsid w:val="00E01AD7"/>
    <w:rsid w:val="00E01FB1"/>
    <w:rsid w:val="00E031B9"/>
    <w:rsid w:val="00E04C37"/>
    <w:rsid w:val="00E05263"/>
    <w:rsid w:val="00E055D0"/>
    <w:rsid w:val="00E060A9"/>
    <w:rsid w:val="00E062CC"/>
    <w:rsid w:val="00E06D18"/>
    <w:rsid w:val="00E06D23"/>
    <w:rsid w:val="00E06DBF"/>
    <w:rsid w:val="00E06E64"/>
    <w:rsid w:val="00E07A86"/>
    <w:rsid w:val="00E10D25"/>
    <w:rsid w:val="00E110D1"/>
    <w:rsid w:val="00E114CF"/>
    <w:rsid w:val="00E1273C"/>
    <w:rsid w:val="00E128B0"/>
    <w:rsid w:val="00E12A8D"/>
    <w:rsid w:val="00E13DC9"/>
    <w:rsid w:val="00E14CC7"/>
    <w:rsid w:val="00E1747A"/>
    <w:rsid w:val="00E20101"/>
    <w:rsid w:val="00E21517"/>
    <w:rsid w:val="00E217DD"/>
    <w:rsid w:val="00E22C7C"/>
    <w:rsid w:val="00E2359E"/>
    <w:rsid w:val="00E24ABF"/>
    <w:rsid w:val="00E25A9C"/>
    <w:rsid w:val="00E25B39"/>
    <w:rsid w:val="00E25D3D"/>
    <w:rsid w:val="00E2667F"/>
    <w:rsid w:val="00E26E66"/>
    <w:rsid w:val="00E27410"/>
    <w:rsid w:val="00E3036C"/>
    <w:rsid w:val="00E3186B"/>
    <w:rsid w:val="00E31E61"/>
    <w:rsid w:val="00E33168"/>
    <w:rsid w:val="00E33DB1"/>
    <w:rsid w:val="00E343D7"/>
    <w:rsid w:val="00E3447D"/>
    <w:rsid w:val="00E34C84"/>
    <w:rsid w:val="00E3798A"/>
    <w:rsid w:val="00E40004"/>
    <w:rsid w:val="00E405DF"/>
    <w:rsid w:val="00E40971"/>
    <w:rsid w:val="00E4282E"/>
    <w:rsid w:val="00E42D6A"/>
    <w:rsid w:val="00E43947"/>
    <w:rsid w:val="00E44115"/>
    <w:rsid w:val="00E45FEE"/>
    <w:rsid w:val="00E461D0"/>
    <w:rsid w:val="00E46300"/>
    <w:rsid w:val="00E46C00"/>
    <w:rsid w:val="00E46F4D"/>
    <w:rsid w:val="00E50EAF"/>
    <w:rsid w:val="00E5132F"/>
    <w:rsid w:val="00E54B3C"/>
    <w:rsid w:val="00E60653"/>
    <w:rsid w:val="00E60A94"/>
    <w:rsid w:val="00E62048"/>
    <w:rsid w:val="00E6282E"/>
    <w:rsid w:val="00E63749"/>
    <w:rsid w:val="00E63B30"/>
    <w:rsid w:val="00E64284"/>
    <w:rsid w:val="00E64EA8"/>
    <w:rsid w:val="00E65F11"/>
    <w:rsid w:val="00E66617"/>
    <w:rsid w:val="00E66D50"/>
    <w:rsid w:val="00E71645"/>
    <w:rsid w:val="00E71831"/>
    <w:rsid w:val="00E7265A"/>
    <w:rsid w:val="00E74257"/>
    <w:rsid w:val="00E759BE"/>
    <w:rsid w:val="00E777BE"/>
    <w:rsid w:val="00E82017"/>
    <w:rsid w:val="00E823EB"/>
    <w:rsid w:val="00E8368E"/>
    <w:rsid w:val="00E85E07"/>
    <w:rsid w:val="00E86055"/>
    <w:rsid w:val="00E870A0"/>
    <w:rsid w:val="00E90928"/>
    <w:rsid w:val="00E91FF0"/>
    <w:rsid w:val="00E925CD"/>
    <w:rsid w:val="00E92C51"/>
    <w:rsid w:val="00E9363F"/>
    <w:rsid w:val="00E942A8"/>
    <w:rsid w:val="00E95C20"/>
    <w:rsid w:val="00E964E2"/>
    <w:rsid w:val="00E97D5E"/>
    <w:rsid w:val="00EA09BE"/>
    <w:rsid w:val="00EA3263"/>
    <w:rsid w:val="00EA6691"/>
    <w:rsid w:val="00EA7A30"/>
    <w:rsid w:val="00EA7A58"/>
    <w:rsid w:val="00EB037C"/>
    <w:rsid w:val="00EB0964"/>
    <w:rsid w:val="00EB1E11"/>
    <w:rsid w:val="00EB3D01"/>
    <w:rsid w:val="00EB5DAD"/>
    <w:rsid w:val="00EB5E57"/>
    <w:rsid w:val="00EB607A"/>
    <w:rsid w:val="00EB6A66"/>
    <w:rsid w:val="00EC0464"/>
    <w:rsid w:val="00EC0AC3"/>
    <w:rsid w:val="00EC3380"/>
    <w:rsid w:val="00EC3F35"/>
    <w:rsid w:val="00EC7F3B"/>
    <w:rsid w:val="00ED0411"/>
    <w:rsid w:val="00ED13B8"/>
    <w:rsid w:val="00ED1CF9"/>
    <w:rsid w:val="00ED4610"/>
    <w:rsid w:val="00ED4B94"/>
    <w:rsid w:val="00ED5D25"/>
    <w:rsid w:val="00ED6D4F"/>
    <w:rsid w:val="00ED6F94"/>
    <w:rsid w:val="00EE1B43"/>
    <w:rsid w:val="00EE298D"/>
    <w:rsid w:val="00EE2C54"/>
    <w:rsid w:val="00EE303F"/>
    <w:rsid w:val="00EE3D9A"/>
    <w:rsid w:val="00EE41F7"/>
    <w:rsid w:val="00EE6E28"/>
    <w:rsid w:val="00EE7F7F"/>
    <w:rsid w:val="00EF0D10"/>
    <w:rsid w:val="00EF0E86"/>
    <w:rsid w:val="00EF32C0"/>
    <w:rsid w:val="00EF3CA0"/>
    <w:rsid w:val="00EF4016"/>
    <w:rsid w:val="00EF41EB"/>
    <w:rsid w:val="00EF48EE"/>
    <w:rsid w:val="00EF4F52"/>
    <w:rsid w:val="00EF6A16"/>
    <w:rsid w:val="00EF7CF0"/>
    <w:rsid w:val="00F0378E"/>
    <w:rsid w:val="00F03B31"/>
    <w:rsid w:val="00F03DEC"/>
    <w:rsid w:val="00F04152"/>
    <w:rsid w:val="00F042D0"/>
    <w:rsid w:val="00F06995"/>
    <w:rsid w:val="00F07B95"/>
    <w:rsid w:val="00F1111E"/>
    <w:rsid w:val="00F1357F"/>
    <w:rsid w:val="00F14731"/>
    <w:rsid w:val="00F15121"/>
    <w:rsid w:val="00F159C6"/>
    <w:rsid w:val="00F230C7"/>
    <w:rsid w:val="00F242F8"/>
    <w:rsid w:val="00F26C1F"/>
    <w:rsid w:val="00F270FD"/>
    <w:rsid w:val="00F27D22"/>
    <w:rsid w:val="00F331F6"/>
    <w:rsid w:val="00F336A5"/>
    <w:rsid w:val="00F33BEB"/>
    <w:rsid w:val="00F35AD2"/>
    <w:rsid w:val="00F364A3"/>
    <w:rsid w:val="00F36D28"/>
    <w:rsid w:val="00F400D4"/>
    <w:rsid w:val="00F407DB"/>
    <w:rsid w:val="00F40FE8"/>
    <w:rsid w:val="00F412D1"/>
    <w:rsid w:val="00F41C6F"/>
    <w:rsid w:val="00F4221C"/>
    <w:rsid w:val="00F43081"/>
    <w:rsid w:val="00F43D92"/>
    <w:rsid w:val="00F447C2"/>
    <w:rsid w:val="00F44CF9"/>
    <w:rsid w:val="00F469DA"/>
    <w:rsid w:val="00F478F8"/>
    <w:rsid w:val="00F54087"/>
    <w:rsid w:val="00F54A2A"/>
    <w:rsid w:val="00F55E11"/>
    <w:rsid w:val="00F561DA"/>
    <w:rsid w:val="00F565B1"/>
    <w:rsid w:val="00F5680F"/>
    <w:rsid w:val="00F57AC9"/>
    <w:rsid w:val="00F6085F"/>
    <w:rsid w:val="00F6143D"/>
    <w:rsid w:val="00F619B8"/>
    <w:rsid w:val="00F65EBE"/>
    <w:rsid w:val="00F66FCA"/>
    <w:rsid w:val="00F70146"/>
    <w:rsid w:val="00F7172E"/>
    <w:rsid w:val="00F72853"/>
    <w:rsid w:val="00F72952"/>
    <w:rsid w:val="00F72E52"/>
    <w:rsid w:val="00F73236"/>
    <w:rsid w:val="00F736CC"/>
    <w:rsid w:val="00F743C9"/>
    <w:rsid w:val="00F7601F"/>
    <w:rsid w:val="00F7627E"/>
    <w:rsid w:val="00F76A2B"/>
    <w:rsid w:val="00F80475"/>
    <w:rsid w:val="00F823B7"/>
    <w:rsid w:val="00F823E6"/>
    <w:rsid w:val="00F82505"/>
    <w:rsid w:val="00F83CD0"/>
    <w:rsid w:val="00F841C0"/>
    <w:rsid w:val="00F853BD"/>
    <w:rsid w:val="00F85479"/>
    <w:rsid w:val="00F914C5"/>
    <w:rsid w:val="00F92635"/>
    <w:rsid w:val="00F94244"/>
    <w:rsid w:val="00F94C64"/>
    <w:rsid w:val="00F95A03"/>
    <w:rsid w:val="00F95F4C"/>
    <w:rsid w:val="00F95F5B"/>
    <w:rsid w:val="00F9747B"/>
    <w:rsid w:val="00F9759E"/>
    <w:rsid w:val="00FA017A"/>
    <w:rsid w:val="00FA0C9C"/>
    <w:rsid w:val="00FA1688"/>
    <w:rsid w:val="00FA2303"/>
    <w:rsid w:val="00FA2348"/>
    <w:rsid w:val="00FA2F9C"/>
    <w:rsid w:val="00FA31F7"/>
    <w:rsid w:val="00FA36DA"/>
    <w:rsid w:val="00FA56D5"/>
    <w:rsid w:val="00FA5843"/>
    <w:rsid w:val="00FA5E2E"/>
    <w:rsid w:val="00FA5F6D"/>
    <w:rsid w:val="00FA75F6"/>
    <w:rsid w:val="00FB091B"/>
    <w:rsid w:val="00FB2798"/>
    <w:rsid w:val="00FB3BF2"/>
    <w:rsid w:val="00FB488E"/>
    <w:rsid w:val="00FB515B"/>
    <w:rsid w:val="00FB525E"/>
    <w:rsid w:val="00FB61F1"/>
    <w:rsid w:val="00FB6BAC"/>
    <w:rsid w:val="00FB6C01"/>
    <w:rsid w:val="00FB6FB8"/>
    <w:rsid w:val="00FB78D4"/>
    <w:rsid w:val="00FB7A32"/>
    <w:rsid w:val="00FC10B4"/>
    <w:rsid w:val="00FC13DB"/>
    <w:rsid w:val="00FC250A"/>
    <w:rsid w:val="00FC2525"/>
    <w:rsid w:val="00FC261A"/>
    <w:rsid w:val="00FC3779"/>
    <w:rsid w:val="00FC3E4A"/>
    <w:rsid w:val="00FC405B"/>
    <w:rsid w:val="00FC79EF"/>
    <w:rsid w:val="00FD1469"/>
    <w:rsid w:val="00FD1624"/>
    <w:rsid w:val="00FD1632"/>
    <w:rsid w:val="00FD1CFE"/>
    <w:rsid w:val="00FD22F1"/>
    <w:rsid w:val="00FD24B9"/>
    <w:rsid w:val="00FD35E8"/>
    <w:rsid w:val="00FD6491"/>
    <w:rsid w:val="00FD74F9"/>
    <w:rsid w:val="00FE0950"/>
    <w:rsid w:val="00FE12F4"/>
    <w:rsid w:val="00FE16AB"/>
    <w:rsid w:val="00FE23BE"/>
    <w:rsid w:val="00FE5207"/>
    <w:rsid w:val="00FE6012"/>
    <w:rsid w:val="00FE6865"/>
    <w:rsid w:val="00FE734A"/>
    <w:rsid w:val="00FE7947"/>
    <w:rsid w:val="00FF0A69"/>
    <w:rsid w:val="00FF0D03"/>
    <w:rsid w:val="00FF1128"/>
    <w:rsid w:val="00FF1475"/>
    <w:rsid w:val="00FF189E"/>
    <w:rsid w:val="00FF1C06"/>
    <w:rsid w:val="00FF2480"/>
    <w:rsid w:val="00FF2B53"/>
    <w:rsid w:val="00FF3044"/>
    <w:rsid w:val="00FF304D"/>
    <w:rsid w:val="00FF4413"/>
    <w:rsid w:val="00FF52DB"/>
    <w:rsid w:val="00FF7C29"/>
    <w:rsid w:val="01920482"/>
    <w:rsid w:val="030B2FAB"/>
    <w:rsid w:val="03607CD6"/>
    <w:rsid w:val="055A23D6"/>
    <w:rsid w:val="062260D2"/>
    <w:rsid w:val="06B82141"/>
    <w:rsid w:val="06D849E3"/>
    <w:rsid w:val="074C6D6D"/>
    <w:rsid w:val="07A80859"/>
    <w:rsid w:val="081548E4"/>
    <w:rsid w:val="08687EEF"/>
    <w:rsid w:val="08806C83"/>
    <w:rsid w:val="08B51480"/>
    <w:rsid w:val="08E87F2D"/>
    <w:rsid w:val="09380F54"/>
    <w:rsid w:val="0AB565D6"/>
    <w:rsid w:val="0B02056E"/>
    <w:rsid w:val="0BAC0D78"/>
    <w:rsid w:val="0D4A711F"/>
    <w:rsid w:val="0D74100C"/>
    <w:rsid w:val="0D746B97"/>
    <w:rsid w:val="0D782A7C"/>
    <w:rsid w:val="0DA35ED4"/>
    <w:rsid w:val="0DA80E35"/>
    <w:rsid w:val="0E7C2FAE"/>
    <w:rsid w:val="0EB71D82"/>
    <w:rsid w:val="0F0F7410"/>
    <w:rsid w:val="103C317F"/>
    <w:rsid w:val="10A2678D"/>
    <w:rsid w:val="10F00E85"/>
    <w:rsid w:val="11294683"/>
    <w:rsid w:val="11FA6D50"/>
    <w:rsid w:val="12B634EC"/>
    <w:rsid w:val="13C15726"/>
    <w:rsid w:val="14DF1812"/>
    <w:rsid w:val="15442360"/>
    <w:rsid w:val="1544518A"/>
    <w:rsid w:val="1606156C"/>
    <w:rsid w:val="16314110"/>
    <w:rsid w:val="175553BB"/>
    <w:rsid w:val="177B1584"/>
    <w:rsid w:val="18354089"/>
    <w:rsid w:val="18E633C4"/>
    <w:rsid w:val="194B4DA9"/>
    <w:rsid w:val="197B401F"/>
    <w:rsid w:val="199E5A16"/>
    <w:rsid w:val="19A14A29"/>
    <w:rsid w:val="1A0916F9"/>
    <w:rsid w:val="1AB229A3"/>
    <w:rsid w:val="1B0D4CB4"/>
    <w:rsid w:val="1B713A68"/>
    <w:rsid w:val="1DA40F6B"/>
    <w:rsid w:val="1DE801FF"/>
    <w:rsid w:val="1DFC7100"/>
    <w:rsid w:val="1EC3252D"/>
    <w:rsid w:val="1EC91389"/>
    <w:rsid w:val="1EFB52BB"/>
    <w:rsid w:val="1F094774"/>
    <w:rsid w:val="1F8318FF"/>
    <w:rsid w:val="201E74B3"/>
    <w:rsid w:val="219679E9"/>
    <w:rsid w:val="21CE7CB8"/>
    <w:rsid w:val="22AE577A"/>
    <w:rsid w:val="22B440FE"/>
    <w:rsid w:val="2319302C"/>
    <w:rsid w:val="23533917"/>
    <w:rsid w:val="23C0591E"/>
    <w:rsid w:val="25240154"/>
    <w:rsid w:val="260B3BD3"/>
    <w:rsid w:val="264E03C6"/>
    <w:rsid w:val="26E85EF6"/>
    <w:rsid w:val="27D41E9B"/>
    <w:rsid w:val="287E6F81"/>
    <w:rsid w:val="2A3C5105"/>
    <w:rsid w:val="2B177C62"/>
    <w:rsid w:val="2B237433"/>
    <w:rsid w:val="2B713C05"/>
    <w:rsid w:val="2B9D1CB2"/>
    <w:rsid w:val="2C5C4878"/>
    <w:rsid w:val="2CBD2814"/>
    <w:rsid w:val="2D31594E"/>
    <w:rsid w:val="2D4D27EC"/>
    <w:rsid w:val="2E0E0B66"/>
    <w:rsid w:val="2E494751"/>
    <w:rsid w:val="2E530C6F"/>
    <w:rsid w:val="2EAF4D63"/>
    <w:rsid w:val="2EC658E5"/>
    <w:rsid w:val="2EC6590B"/>
    <w:rsid w:val="2F406D91"/>
    <w:rsid w:val="2F692A13"/>
    <w:rsid w:val="30526F2D"/>
    <w:rsid w:val="31852991"/>
    <w:rsid w:val="32117981"/>
    <w:rsid w:val="321C5F30"/>
    <w:rsid w:val="332021CF"/>
    <w:rsid w:val="34401FC8"/>
    <w:rsid w:val="34B232FA"/>
    <w:rsid w:val="35A42884"/>
    <w:rsid w:val="35D02BA5"/>
    <w:rsid w:val="36F660A1"/>
    <w:rsid w:val="37106EF9"/>
    <w:rsid w:val="38D34E86"/>
    <w:rsid w:val="393C25B2"/>
    <w:rsid w:val="3A5F7671"/>
    <w:rsid w:val="3B5B73B5"/>
    <w:rsid w:val="3BC303C8"/>
    <w:rsid w:val="3D7A4D38"/>
    <w:rsid w:val="3DB32DFE"/>
    <w:rsid w:val="3DE9089D"/>
    <w:rsid w:val="3DFB2BEA"/>
    <w:rsid w:val="3E1C2D3B"/>
    <w:rsid w:val="3EC406C3"/>
    <w:rsid w:val="3EED74E6"/>
    <w:rsid w:val="3EFB0C93"/>
    <w:rsid w:val="3F714C0B"/>
    <w:rsid w:val="3F964E60"/>
    <w:rsid w:val="3FBB6674"/>
    <w:rsid w:val="41191BB8"/>
    <w:rsid w:val="41A25D3E"/>
    <w:rsid w:val="42002A64"/>
    <w:rsid w:val="43DE6DD5"/>
    <w:rsid w:val="441509E5"/>
    <w:rsid w:val="4428272C"/>
    <w:rsid w:val="448E1798"/>
    <w:rsid w:val="44BE2E8F"/>
    <w:rsid w:val="44E13268"/>
    <w:rsid w:val="454E4586"/>
    <w:rsid w:val="456B0F80"/>
    <w:rsid w:val="464C606C"/>
    <w:rsid w:val="467248DA"/>
    <w:rsid w:val="472B223A"/>
    <w:rsid w:val="4A144496"/>
    <w:rsid w:val="4ABB549C"/>
    <w:rsid w:val="4B0761DC"/>
    <w:rsid w:val="4B8A6633"/>
    <w:rsid w:val="4D50664E"/>
    <w:rsid w:val="4DE25453"/>
    <w:rsid w:val="4E092CA1"/>
    <w:rsid w:val="4F6B50CE"/>
    <w:rsid w:val="4F7803C3"/>
    <w:rsid w:val="4F98252E"/>
    <w:rsid w:val="4FCE7D1E"/>
    <w:rsid w:val="4FF346A5"/>
    <w:rsid w:val="51C34311"/>
    <w:rsid w:val="52326C6A"/>
    <w:rsid w:val="526B2C0B"/>
    <w:rsid w:val="52AA09B9"/>
    <w:rsid w:val="5308042C"/>
    <w:rsid w:val="53316F22"/>
    <w:rsid w:val="53514E75"/>
    <w:rsid w:val="5421572B"/>
    <w:rsid w:val="5563377B"/>
    <w:rsid w:val="55C027DF"/>
    <w:rsid w:val="5697353F"/>
    <w:rsid w:val="571B7CCD"/>
    <w:rsid w:val="58104E13"/>
    <w:rsid w:val="58B55EFF"/>
    <w:rsid w:val="593F1BFE"/>
    <w:rsid w:val="5C625B79"/>
    <w:rsid w:val="5CD44994"/>
    <w:rsid w:val="5D6244F9"/>
    <w:rsid w:val="5D783967"/>
    <w:rsid w:val="5E86286E"/>
    <w:rsid w:val="5ECE3876"/>
    <w:rsid w:val="5ED30437"/>
    <w:rsid w:val="60185C40"/>
    <w:rsid w:val="602C6DCE"/>
    <w:rsid w:val="612260FC"/>
    <w:rsid w:val="61912B2A"/>
    <w:rsid w:val="62F419E1"/>
    <w:rsid w:val="648D6989"/>
    <w:rsid w:val="64F67403"/>
    <w:rsid w:val="65CB2D73"/>
    <w:rsid w:val="65E73470"/>
    <w:rsid w:val="65E97BA0"/>
    <w:rsid w:val="666349DE"/>
    <w:rsid w:val="68213F33"/>
    <w:rsid w:val="682E0AB4"/>
    <w:rsid w:val="692365A1"/>
    <w:rsid w:val="69AA4EE0"/>
    <w:rsid w:val="6A9A4DDB"/>
    <w:rsid w:val="6AED32D6"/>
    <w:rsid w:val="6B3709F5"/>
    <w:rsid w:val="6B4F3B8D"/>
    <w:rsid w:val="6BC84D55"/>
    <w:rsid w:val="6BE20C6D"/>
    <w:rsid w:val="6C4A0DA1"/>
    <w:rsid w:val="6C59051A"/>
    <w:rsid w:val="6CDB5804"/>
    <w:rsid w:val="6CE05D4C"/>
    <w:rsid w:val="6D41015D"/>
    <w:rsid w:val="6DAD31F1"/>
    <w:rsid w:val="6F016033"/>
    <w:rsid w:val="6F1261AF"/>
    <w:rsid w:val="702F7832"/>
    <w:rsid w:val="70821B87"/>
    <w:rsid w:val="70983CE4"/>
    <w:rsid w:val="712E3888"/>
    <w:rsid w:val="71615DE8"/>
    <w:rsid w:val="723F1670"/>
    <w:rsid w:val="739A11A0"/>
    <w:rsid w:val="74454183"/>
    <w:rsid w:val="76A7061B"/>
    <w:rsid w:val="77627194"/>
    <w:rsid w:val="77863834"/>
    <w:rsid w:val="77DC40F3"/>
    <w:rsid w:val="7882466E"/>
    <w:rsid w:val="78CA5B8B"/>
    <w:rsid w:val="79442C5B"/>
    <w:rsid w:val="79444A21"/>
    <w:rsid w:val="794648E1"/>
    <w:rsid w:val="79E070B5"/>
    <w:rsid w:val="79E2435D"/>
    <w:rsid w:val="7C8F2676"/>
    <w:rsid w:val="7D192AD6"/>
    <w:rsid w:val="7E1E4B3F"/>
    <w:rsid w:val="7E2E5C88"/>
    <w:rsid w:val="7E662E05"/>
    <w:rsid w:val="7F0445B7"/>
    <w:rsid w:val="7FA95C5C"/>
    <w:rsid w:val="7FB7484D"/>
    <w:rsid w:val="7FE31A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nhideWhenUsed="0" w:uiPriority="0" w:semiHidden="0" w:name="HTML Sample"/>
    <w:lsdException w:qFormat="1" w:uiPriority="99" w:semiHidden="0"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6"/>
    <w:autoRedefine/>
    <w:qFormat/>
    <w:uiPriority w:val="0"/>
    <w:pPr>
      <w:keepNext/>
      <w:keepLines/>
      <w:spacing w:before="260" w:after="260" w:line="415" w:lineRule="auto"/>
      <w:ind w:firstLine="0" w:firstLineChars="0"/>
      <w:outlineLvl w:val="1"/>
    </w:pPr>
    <w:rPr>
      <w:rFonts w:ascii="等线 Light" w:hAnsi="等线 Light" w:eastAsia="黑体"/>
      <w:bCs/>
      <w:sz w:val="24"/>
      <w:szCs w:val="32"/>
    </w:rPr>
  </w:style>
  <w:style w:type="paragraph" w:styleId="6">
    <w:name w:val="heading 3"/>
    <w:basedOn w:val="1"/>
    <w:next w:val="1"/>
    <w:link w:val="77"/>
    <w:autoRedefine/>
    <w:qFormat/>
    <w:uiPriority w:val="0"/>
    <w:pPr>
      <w:keepNext/>
      <w:keepLines/>
      <w:spacing w:before="260" w:after="260" w:line="416" w:lineRule="auto"/>
      <w:outlineLvl w:val="2"/>
    </w:pPr>
    <w:rPr>
      <w:b/>
      <w:bCs/>
      <w:sz w:val="32"/>
      <w:szCs w:val="32"/>
    </w:rPr>
  </w:style>
  <w:style w:type="paragraph" w:styleId="7">
    <w:name w:val="heading 4"/>
    <w:basedOn w:val="1"/>
    <w:next w:val="8"/>
    <w:link w:val="78"/>
    <w:autoRedefine/>
    <w:qFormat/>
    <w:uiPriority w:val="0"/>
    <w:pPr>
      <w:keepNext/>
      <w:adjustRightInd w:val="0"/>
      <w:spacing w:line="420" w:lineRule="atLeast"/>
      <w:ind w:firstLine="454" w:firstLineChars="0"/>
      <w:jc w:val="center"/>
      <w:textAlignment w:val="baseline"/>
      <w:outlineLvl w:val="3"/>
    </w:pPr>
    <w:rPr>
      <w:i/>
      <w:kern w:val="0"/>
      <w:sz w:val="20"/>
      <w:szCs w:val="20"/>
    </w:rPr>
  </w:style>
  <w:style w:type="paragraph" w:styleId="9">
    <w:name w:val="heading 5"/>
    <w:basedOn w:val="1"/>
    <w:next w:val="1"/>
    <w:link w:val="80"/>
    <w:autoRedefine/>
    <w:qFormat/>
    <w:uiPriority w:val="0"/>
    <w:pPr>
      <w:keepNext/>
      <w:keepLines/>
      <w:spacing w:before="280" w:after="290" w:line="376" w:lineRule="auto"/>
      <w:ind w:firstLine="0" w:firstLineChars="0"/>
      <w:outlineLvl w:val="4"/>
    </w:pPr>
    <w:rPr>
      <w:rFonts w:ascii="Calibri" w:hAnsi="Calibri"/>
      <w:b/>
      <w:bCs/>
      <w:kern w:val="0"/>
      <w:sz w:val="28"/>
      <w:szCs w:val="28"/>
    </w:rPr>
  </w:style>
  <w:style w:type="paragraph" w:styleId="10">
    <w:name w:val="heading 6"/>
    <w:basedOn w:val="1"/>
    <w:next w:val="1"/>
    <w:link w:val="81"/>
    <w:autoRedefine/>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 w:val="24"/>
    </w:rPr>
  </w:style>
  <w:style w:type="paragraph" w:styleId="11">
    <w:name w:val="heading 7"/>
    <w:basedOn w:val="1"/>
    <w:next w:val="1"/>
    <w:link w:val="82"/>
    <w:autoRedefine/>
    <w:qFormat/>
    <w:uiPriority w:val="0"/>
    <w:pPr>
      <w:keepNext/>
      <w:keepLines/>
      <w:widowControl/>
      <w:tabs>
        <w:tab w:val="left" w:pos="2520"/>
      </w:tabs>
      <w:spacing w:before="240" w:after="64" w:line="320" w:lineRule="auto"/>
      <w:ind w:left="1296" w:hanging="1296" w:firstLineChars="0"/>
      <w:jc w:val="left"/>
      <w:outlineLvl w:val="6"/>
    </w:pPr>
    <w:rPr>
      <w:b/>
      <w:bCs/>
      <w:kern w:val="0"/>
      <w:sz w:val="24"/>
    </w:rPr>
  </w:style>
  <w:style w:type="paragraph" w:styleId="12">
    <w:name w:val="heading 8"/>
    <w:basedOn w:val="1"/>
    <w:next w:val="1"/>
    <w:link w:val="83"/>
    <w:autoRedefine/>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 w:val="24"/>
    </w:rPr>
  </w:style>
  <w:style w:type="paragraph" w:styleId="13">
    <w:name w:val="heading 9"/>
    <w:basedOn w:val="1"/>
    <w:next w:val="1"/>
    <w:link w:val="84"/>
    <w:autoRedefine/>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58">
    <w:name w:val="Default Paragraph Font"/>
    <w:autoRedefine/>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ind w:left="420" w:firstLine="420"/>
    </w:pPr>
    <w:rPr>
      <w:rFonts w:ascii="Calibri" w:hAnsi="Calibri"/>
      <w:sz w:val="21"/>
      <w:szCs w:val="22"/>
    </w:rPr>
  </w:style>
  <w:style w:type="paragraph" w:styleId="3">
    <w:name w:val="Body Text Indent"/>
    <w:basedOn w:val="1"/>
    <w:link w:val="90"/>
    <w:autoRedefine/>
    <w:qFormat/>
    <w:uiPriority w:val="0"/>
    <w:pPr>
      <w:spacing w:after="120"/>
      <w:ind w:left="420" w:leftChars="200" w:firstLine="0" w:firstLineChars="0"/>
    </w:pPr>
    <w:rPr>
      <w:kern w:val="0"/>
      <w:sz w:val="20"/>
    </w:rPr>
  </w:style>
  <w:style w:type="paragraph" w:styleId="8">
    <w:name w:val="Normal Indent"/>
    <w:basedOn w:val="1"/>
    <w:link w:val="79"/>
    <w:autoRedefine/>
    <w:qFormat/>
    <w:uiPriority w:val="0"/>
    <w:pPr>
      <w:ind w:firstLine="420"/>
    </w:pPr>
    <w:rPr>
      <w:kern w:val="0"/>
      <w:sz w:val="20"/>
    </w:rPr>
  </w:style>
  <w:style w:type="paragraph" w:styleId="14">
    <w:name w:val="List 3"/>
    <w:basedOn w:val="1"/>
    <w:autoRedefine/>
    <w:qFormat/>
    <w:uiPriority w:val="0"/>
    <w:pPr>
      <w:ind w:left="100" w:leftChars="400" w:hanging="200" w:hangingChars="200"/>
    </w:pPr>
    <w:rPr>
      <w:rFonts w:ascii="Calibri" w:hAnsi="Calibri"/>
      <w:szCs w:val="22"/>
    </w:rPr>
  </w:style>
  <w:style w:type="paragraph" w:styleId="15">
    <w:name w:val="toc 7"/>
    <w:basedOn w:val="1"/>
    <w:next w:val="1"/>
    <w:autoRedefine/>
    <w:unhideWhenUsed/>
    <w:qFormat/>
    <w:uiPriority w:val="39"/>
    <w:pPr>
      <w:ind w:left="2520" w:leftChars="1200" w:firstLine="0" w:firstLineChars="0"/>
    </w:pPr>
    <w:rPr>
      <w:rFonts w:ascii="等线" w:hAnsi="等线" w:eastAsia="等线"/>
      <w:szCs w:val="22"/>
    </w:rPr>
  </w:style>
  <w:style w:type="paragraph" w:styleId="16">
    <w:name w:val="caption"/>
    <w:basedOn w:val="1"/>
    <w:next w:val="1"/>
    <w:autoRedefine/>
    <w:qFormat/>
    <w:uiPriority w:val="0"/>
    <w:pPr>
      <w:ind w:firstLine="0" w:firstLineChars="0"/>
    </w:pPr>
    <w:rPr>
      <w:rFonts w:ascii="Arial" w:hAnsi="Arial" w:eastAsia="黑体" w:cs="Arial"/>
      <w:sz w:val="20"/>
      <w:szCs w:val="20"/>
    </w:rPr>
  </w:style>
  <w:style w:type="paragraph" w:styleId="17">
    <w:name w:val="Document Map"/>
    <w:basedOn w:val="1"/>
    <w:link w:val="85"/>
    <w:autoRedefine/>
    <w:qFormat/>
    <w:uiPriority w:val="0"/>
    <w:pPr>
      <w:ind w:firstLine="0" w:firstLineChars="0"/>
    </w:pPr>
    <w:rPr>
      <w:rFonts w:ascii="宋体"/>
      <w:kern w:val="0"/>
      <w:sz w:val="18"/>
      <w:szCs w:val="18"/>
    </w:rPr>
  </w:style>
  <w:style w:type="paragraph" w:styleId="18">
    <w:name w:val="annotation text"/>
    <w:basedOn w:val="1"/>
    <w:link w:val="86"/>
    <w:autoRedefine/>
    <w:qFormat/>
    <w:uiPriority w:val="0"/>
    <w:pPr>
      <w:jc w:val="left"/>
    </w:pPr>
    <w:rPr>
      <w:kern w:val="0"/>
      <w:sz w:val="20"/>
    </w:rPr>
  </w:style>
  <w:style w:type="paragraph" w:styleId="19">
    <w:name w:val="Salutation"/>
    <w:basedOn w:val="1"/>
    <w:next w:val="1"/>
    <w:link w:val="87"/>
    <w:autoRedefine/>
    <w:qFormat/>
    <w:uiPriority w:val="0"/>
    <w:pPr>
      <w:ind w:firstLine="0" w:firstLineChars="0"/>
    </w:pPr>
    <w:rPr>
      <w:rFonts w:ascii="仿宋_GB2312" w:hAnsi="Calibri" w:eastAsia="仿宋_GB2312"/>
      <w:bCs/>
      <w:kern w:val="0"/>
      <w:sz w:val="28"/>
      <w:szCs w:val="20"/>
    </w:rPr>
  </w:style>
  <w:style w:type="paragraph" w:styleId="20">
    <w:name w:val="Body Text 3"/>
    <w:basedOn w:val="1"/>
    <w:link w:val="88"/>
    <w:autoRedefine/>
    <w:qFormat/>
    <w:uiPriority w:val="0"/>
    <w:rPr>
      <w:rFonts w:ascii="宋体"/>
      <w:kern w:val="0"/>
      <w:sz w:val="24"/>
      <w:szCs w:val="20"/>
    </w:rPr>
  </w:style>
  <w:style w:type="paragraph" w:styleId="21">
    <w:name w:val="Body Text"/>
    <w:basedOn w:val="1"/>
    <w:link w:val="89"/>
    <w:autoRedefine/>
    <w:qFormat/>
    <w:uiPriority w:val="0"/>
    <w:pPr>
      <w:spacing w:after="120"/>
      <w:ind w:firstLine="0" w:firstLineChars="0"/>
    </w:pPr>
    <w:rPr>
      <w:kern w:val="0"/>
      <w:sz w:val="20"/>
    </w:rPr>
  </w:style>
  <w:style w:type="paragraph" w:styleId="22">
    <w:name w:val="List 2"/>
    <w:basedOn w:val="1"/>
    <w:autoRedefine/>
    <w:qFormat/>
    <w:uiPriority w:val="0"/>
    <w:pPr>
      <w:ind w:left="100" w:leftChars="200" w:hanging="200" w:hangingChars="200"/>
    </w:pPr>
    <w:rPr>
      <w:rFonts w:ascii="Calibri" w:hAnsi="Calibri"/>
      <w:szCs w:val="22"/>
    </w:rPr>
  </w:style>
  <w:style w:type="paragraph" w:styleId="23">
    <w:name w:val="List Continue"/>
    <w:basedOn w:val="1"/>
    <w:autoRedefine/>
    <w:qFormat/>
    <w:uiPriority w:val="0"/>
    <w:pPr>
      <w:spacing w:after="120"/>
      <w:ind w:left="420" w:leftChars="200" w:firstLine="0" w:firstLineChars="0"/>
    </w:pPr>
    <w:rPr>
      <w:rFonts w:ascii="Calibri" w:hAnsi="Calibri"/>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0"/>
    </w:rPr>
  </w:style>
  <w:style w:type="paragraph" w:styleId="25">
    <w:name w:val="index 4"/>
    <w:basedOn w:val="1"/>
    <w:next w:val="1"/>
    <w:autoRedefine/>
    <w:qFormat/>
    <w:uiPriority w:val="0"/>
    <w:pPr>
      <w:ind w:left="600" w:leftChars="600" w:firstLine="0" w:firstLineChars="0"/>
    </w:pPr>
  </w:style>
  <w:style w:type="paragraph" w:styleId="26">
    <w:name w:val="toc 5"/>
    <w:basedOn w:val="1"/>
    <w:next w:val="1"/>
    <w:autoRedefine/>
    <w:unhideWhenUsed/>
    <w:qFormat/>
    <w:uiPriority w:val="39"/>
    <w:pPr>
      <w:ind w:left="1680" w:leftChars="800" w:firstLine="0" w:firstLineChars="0"/>
    </w:pPr>
    <w:rPr>
      <w:rFonts w:ascii="等线" w:hAnsi="等线" w:eastAsia="等线"/>
      <w:szCs w:val="22"/>
    </w:rPr>
  </w:style>
  <w:style w:type="paragraph" w:styleId="27">
    <w:name w:val="toc 3"/>
    <w:basedOn w:val="1"/>
    <w:next w:val="1"/>
    <w:autoRedefine/>
    <w:unhideWhenUsed/>
    <w:qFormat/>
    <w:uiPriority w:val="39"/>
    <w:pPr>
      <w:widowControl/>
      <w:spacing w:after="100" w:line="259" w:lineRule="auto"/>
      <w:ind w:left="440" w:firstLine="0" w:firstLineChars="0"/>
      <w:jc w:val="left"/>
    </w:pPr>
    <w:rPr>
      <w:rFonts w:ascii="等线" w:hAnsi="等线" w:eastAsia="等线"/>
      <w:kern w:val="0"/>
      <w:sz w:val="22"/>
      <w:szCs w:val="22"/>
    </w:rPr>
  </w:style>
  <w:style w:type="paragraph" w:styleId="28">
    <w:name w:val="Plain Text"/>
    <w:basedOn w:val="1"/>
    <w:link w:val="91"/>
    <w:autoRedefine/>
    <w:qFormat/>
    <w:uiPriority w:val="0"/>
    <w:pPr>
      <w:ind w:firstLine="0" w:firstLineChars="0"/>
    </w:pPr>
    <w:rPr>
      <w:rFonts w:ascii="宋体" w:hAnsi="Courier New"/>
      <w:kern w:val="0"/>
      <w:sz w:val="20"/>
      <w:szCs w:val="20"/>
    </w:rPr>
  </w:style>
  <w:style w:type="paragraph" w:styleId="29">
    <w:name w:val="toc 8"/>
    <w:basedOn w:val="1"/>
    <w:next w:val="1"/>
    <w:autoRedefine/>
    <w:unhideWhenUsed/>
    <w:qFormat/>
    <w:uiPriority w:val="39"/>
    <w:pPr>
      <w:ind w:left="2940" w:leftChars="1400" w:firstLine="0" w:firstLineChars="0"/>
    </w:pPr>
    <w:rPr>
      <w:rFonts w:ascii="等线" w:hAnsi="等线" w:eastAsia="等线"/>
      <w:szCs w:val="22"/>
    </w:rPr>
  </w:style>
  <w:style w:type="paragraph" w:styleId="30">
    <w:name w:val="Date"/>
    <w:basedOn w:val="1"/>
    <w:next w:val="1"/>
    <w:link w:val="92"/>
    <w:autoRedefine/>
    <w:qFormat/>
    <w:uiPriority w:val="0"/>
    <w:pPr>
      <w:ind w:firstLine="0" w:firstLineChars="0"/>
    </w:pPr>
    <w:rPr>
      <w:kern w:val="0"/>
      <w:sz w:val="24"/>
      <w:szCs w:val="20"/>
    </w:rPr>
  </w:style>
  <w:style w:type="paragraph" w:styleId="31">
    <w:name w:val="Body Text Indent 2"/>
    <w:basedOn w:val="1"/>
    <w:link w:val="93"/>
    <w:autoRedefine/>
    <w:qFormat/>
    <w:uiPriority w:val="0"/>
    <w:pPr>
      <w:spacing w:line="500" w:lineRule="exact"/>
      <w:ind w:firstLine="540"/>
    </w:pPr>
    <w:rPr>
      <w:rFonts w:ascii="宋体" w:hAnsi="宋体"/>
      <w:kern w:val="0"/>
      <w:sz w:val="27"/>
      <w:szCs w:val="27"/>
    </w:rPr>
  </w:style>
  <w:style w:type="paragraph" w:styleId="32">
    <w:name w:val="endnote text"/>
    <w:basedOn w:val="1"/>
    <w:link w:val="94"/>
    <w:autoRedefine/>
    <w:qFormat/>
    <w:uiPriority w:val="0"/>
    <w:pPr>
      <w:snapToGrid w:val="0"/>
      <w:ind w:firstLine="0" w:firstLineChars="0"/>
      <w:jc w:val="left"/>
    </w:pPr>
    <w:rPr>
      <w:kern w:val="0"/>
      <w:sz w:val="20"/>
    </w:rPr>
  </w:style>
  <w:style w:type="paragraph" w:styleId="33">
    <w:name w:val="Balloon Text"/>
    <w:basedOn w:val="1"/>
    <w:link w:val="95"/>
    <w:autoRedefine/>
    <w:unhideWhenUsed/>
    <w:qFormat/>
    <w:uiPriority w:val="0"/>
    <w:rPr>
      <w:sz w:val="18"/>
      <w:szCs w:val="18"/>
    </w:rPr>
  </w:style>
  <w:style w:type="paragraph" w:styleId="34">
    <w:name w:val="footer"/>
    <w:basedOn w:val="1"/>
    <w:link w:val="96"/>
    <w:autoRedefine/>
    <w:unhideWhenUsed/>
    <w:qFormat/>
    <w:uiPriority w:val="0"/>
    <w:pPr>
      <w:tabs>
        <w:tab w:val="center" w:pos="4153"/>
        <w:tab w:val="right" w:pos="8306"/>
      </w:tabs>
      <w:snapToGrid w:val="0"/>
      <w:jc w:val="left"/>
    </w:pPr>
    <w:rPr>
      <w:sz w:val="18"/>
      <w:szCs w:val="18"/>
    </w:rPr>
  </w:style>
  <w:style w:type="paragraph" w:styleId="35">
    <w:name w:val="header"/>
    <w:basedOn w:val="1"/>
    <w:link w:val="9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style>
  <w:style w:type="paragraph" w:styleId="37">
    <w:name w:val="List Continue 4"/>
    <w:basedOn w:val="1"/>
    <w:autoRedefine/>
    <w:qFormat/>
    <w:uiPriority w:val="0"/>
    <w:pPr>
      <w:spacing w:after="120"/>
      <w:ind w:left="1680" w:leftChars="800" w:firstLine="0" w:firstLineChars="0"/>
    </w:pPr>
    <w:rPr>
      <w:rFonts w:ascii="Calibri" w:hAnsi="Calibri"/>
      <w:szCs w:val="22"/>
    </w:rPr>
  </w:style>
  <w:style w:type="paragraph" w:styleId="38">
    <w:name w:val="toc 4"/>
    <w:basedOn w:val="1"/>
    <w:next w:val="1"/>
    <w:autoRedefine/>
    <w:unhideWhenUsed/>
    <w:qFormat/>
    <w:uiPriority w:val="39"/>
    <w:pPr>
      <w:ind w:left="1260" w:leftChars="600" w:firstLine="0" w:firstLineChars="0"/>
    </w:pPr>
    <w:rPr>
      <w:rFonts w:ascii="等线" w:hAnsi="等线" w:eastAsia="等线"/>
      <w:szCs w:val="22"/>
    </w:rPr>
  </w:style>
  <w:style w:type="paragraph" w:styleId="39">
    <w:name w:val="index heading"/>
    <w:basedOn w:val="1"/>
    <w:next w:val="40"/>
    <w:autoRedefine/>
    <w:qFormat/>
    <w:uiPriority w:val="0"/>
    <w:pPr>
      <w:ind w:firstLine="0" w:firstLineChars="0"/>
    </w:pPr>
    <w:rPr>
      <w:rFonts w:ascii="Calibri" w:hAnsi="Calibri"/>
      <w:szCs w:val="22"/>
    </w:rPr>
  </w:style>
  <w:style w:type="paragraph" w:styleId="40">
    <w:name w:val="index 1"/>
    <w:basedOn w:val="1"/>
    <w:next w:val="1"/>
    <w:autoRedefine/>
    <w:qFormat/>
    <w:uiPriority w:val="0"/>
    <w:pPr>
      <w:spacing w:line="220" w:lineRule="exact"/>
      <w:ind w:firstLine="0" w:firstLineChars="0"/>
      <w:jc w:val="center"/>
    </w:pPr>
    <w:rPr>
      <w:rFonts w:ascii="仿宋_GB2312" w:eastAsia="仿宋_GB2312"/>
      <w:szCs w:val="21"/>
    </w:rPr>
  </w:style>
  <w:style w:type="paragraph" w:styleId="41">
    <w:name w:val="Subtitle"/>
    <w:basedOn w:val="1"/>
    <w:link w:val="98"/>
    <w:autoRedefine/>
    <w:qFormat/>
    <w:uiPriority w:val="0"/>
    <w:pPr>
      <w:spacing w:before="240" w:after="60" w:line="312" w:lineRule="auto"/>
      <w:ind w:firstLine="0" w:firstLineChars="0"/>
      <w:jc w:val="center"/>
      <w:outlineLvl w:val="1"/>
    </w:pPr>
    <w:rPr>
      <w:rFonts w:ascii="Arial" w:hAnsi="Arial"/>
      <w:b/>
      <w:bCs/>
      <w:kern w:val="28"/>
      <w:sz w:val="32"/>
      <w:szCs w:val="32"/>
    </w:rPr>
  </w:style>
  <w:style w:type="paragraph" w:styleId="42">
    <w:name w:val="List"/>
    <w:basedOn w:val="1"/>
    <w:autoRedefine/>
    <w:qFormat/>
    <w:uiPriority w:val="0"/>
    <w:pPr>
      <w:ind w:left="200" w:hanging="200" w:hangingChars="200"/>
    </w:pPr>
    <w:rPr>
      <w:rFonts w:ascii="Calibri" w:hAnsi="Calibri"/>
      <w:szCs w:val="22"/>
    </w:rPr>
  </w:style>
  <w:style w:type="paragraph" w:styleId="43">
    <w:name w:val="footnote text"/>
    <w:basedOn w:val="1"/>
    <w:link w:val="99"/>
    <w:autoRedefine/>
    <w:unhideWhenUsed/>
    <w:qFormat/>
    <w:uiPriority w:val="0"/>
    <w:pPr>
      <w:snapToGrid w:val="0"/>
      <w:jc w:val="left"/>
    </w:pPr>
    <w:rPr>
      <w:sz w:val="18"/>
      <w:szCs w:val="18"/>
    </w:rPr>
  </w:style>
  <w:style w:type="paragraph" w:styleId="44">
    <w:name w:val="toc 6"/>
    <w:basedOn w:val="1"/>
    <w:next w:val="1"/>
    <w:autoRedefine/>
    <w:unhideWhenUsed/>
    <w:qFormat/>
    <w:uiPriority w:val="39"/>
    <w:pPr>
      <w:ind w:left="2100" w:leftChars="1000" w:firstLine="0" w:firstLineChars="0"/>
    </w:pPr>
    <w:rPr>
      <w:rFonts w:ascii="等线" w:hAnsi="等线" w:eastAsia="等线"/>
      <w:szCs w:val="22"/>
    </w:rPr>
  </w:style>
  <w:style w:type="paragraph" w:styleId="45">
    <w:name w:val="Body Text Indent 3"/>
    <w:basedOn w:val="1"/>
    <w:link w:val="100"/>
    <w:autoRedefine/>
    <w:qFormat/>
    <w:uiPriority w:val="0"/>
    <w:pPr>
      <w:spacing w:after="120"/>
      <w:ind w:left="420" w:leftChars="200" w:firstLine="0" w:firstLineChars="0"/>
    </w:pPr>
    <w:rPr>
      <w:kern w:val="0"/>
      <w:sz w:val="16"/>
      <w:szCs w:val="16"/>
    </w:rPr>
  </w:style>
  <w:style w:type="paragraph" w:styleId="46">
    <w:name w:val="table of figures"/>
    <w:basedOn w:val="1"/>
    <w:next w:val="1"/>
    <w:autoRedefine/>
    <w:qFormat/>
    <w:uiPriority w:val="0"/>
    <w:pPr>
      <w:ind w:left="200" w:leftChars="200" w:hanging="200" w:hangingChars="200"/>
    </w:pPr>
  </w:style>
  <w:style w:type="paragraph" w:styleId="47">
    <w:name w:val="toc 2"/>
    <w:basedOn w:val="1"/>
    <w:next w:val="1"/>
    <w:autoRedefine/>
    <w:unhideWhenUsed/>
    <w:qFormat/>
    <w:uiPriority w:val="39"/>
    <w:pPr>
      <w:tabs>
        <w:tab w:val="right" w:leader="dot" w:pos="8296"/>
      </w:tabs>
      <w:ind w:left="420" w:leftChars="200" w:firstLine="420"/>
    </w:pPr>
  </w:style>
  <w:style w:type="paragraph" w:styleId="48">
    <w:name w:val="toc 9"/>
    <w:basedOn w:val="1"/>
    <w:next w:val="1"/>
    <w:autoRedefine/>
    <w:unhideWhenUsed/>
    <w:qFormat/>
    <w:uiPriority w:val="39"/>
    <w:pPr>
      <w:ind w:left="3360" w:leftChars="1600" w:firstLine="0" w:firstLineChars="0"/>
    </w:pPr>
    <w:rPr>
      <w:rFonts w:ascii="等线" w:hAnsi="等线" w:eastAsia="等线"/>
      <w:szCs w:val="22"/>
    </w:rPr>
  </w:style>
  <w:style w:type="paragraph" w:styleId="49">
    <w:name w:val="Body Text 2"/>
    <w:basedOn w:val="1"/>
    <w:link w:val="101"/>
    <w:autoRedefine/>
    <w:qFormat/>
    <w:uiPriority w:val="0"/>
    <w:pPr>
      <w:spacing w:after="120" w:line="480" w:lineRule="auto"/>
      <w:ind w:firstLine="0" w:firstLineChars="0"/>
    </w:pPr>
    <w:rPr>
      <w:kern w:val="0"/>
      <w:sz w:val="20"/>
    </w:rPr>
  </w:style>
  <w:style w:type="paragraph" w:styleId="50">
    <w:name w:val="List 4"/>
    <w:basedOn w:val="1"/>
    <w:autoRedefine/>
    <w:qFormat/>
    <w:uiPriority w:val="0"/>
    <w:pPr>
      <w:ind w:left="100" w:leftChars="600" w:hanging="200" w:hangingChars="200"/>
    </w:pPr>
    <w:rPr>
      <w:rFonts w:ascii="Calibri" w:hAnsi="Calibri"/>
      <w:szCs w:val="22"/>
    </w:rPr>
  </w:style>
  <w:style w:type="paragraph" w:styleId="51">
    <w:name w:val="List Continue 2"/>
    <w:basedOn w:val="1"/>
    <w:autoRedefine/>
    <w:qFormat/>
    <w:uiPriority w:val="0"/>
    <w:pPr>
      <w:spacing w:after="120"/>
      <w:ind w:left="840" w:leftChars="400" w:firstLine="0" w:firstLineChars="0"/>
    </w:pPr>
    <w:rPr>
      <w:rFonts w:ascii="Calibri" w:hAnsi="Calibri"/>
      <w:szCs w:val="22"/>
    </w:rPr>
  </w:style>
  <w:style w:type="paragraph" w:styleId="52">
    <w:name w:val="HTML Preformatted"/>
    <w:basedOn w:val="1"/>
    <w:link w:val="10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宋体" w:hAnsi="宋体"/>
      <w:kern w:val="0"/>
      <w:sz w:val="24"/>
    </w:rPr>
  </w:style>
  <w:style w:type="paragraph" w:styleId="53">
    <w:name w:val="Normal (Web)"/>
    <w:basedOn w:val="1"/>
    <w:autoRedefine/>
    <w:qFormat/>
    <w:uiPriority w:val="0"/>
    <w:pPr>
      <w:widowControl/>
      <w:spacing w:before="100" w:beforeAutospacing="1" w:after="100" w:afterAutospacing="1"/>
      <w:ind w:firstLine="0" w:firstLineChars="0"/>
      <w:jc w:val="left"/>
    </w:pPr>
    <w:rPr>
      <w:rFonts w:ascii="宋体" w:hAnsi="宋体" w:cs="宋体"/>
      <w:color w:val="0066CC"/>
      <w:kern w:val="0"/>
      <w:sz w:val="24"/>
      <w:szCs w:val="22"/>
    </w:rPr>
  </w:style>
  <w:style w:type="paragraph" w:styleId="54">
    <w:name w:val="Title"/>
    <w:basedOn w:val="1"/>
    <w:link w:val="103"/>
    <w:autoRedefine/>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55">
    <w:name w:val="annotation subject"/>
    <w:basedOn w:val="18"/>
    <w:next w:val="18"/>
    <w:link w:val="104"/>
    <w:autoRedefine/>
    <w:unhideWhenUsed/>
    <w:qFormat/>
    <w:uiPriority w:val="0"/>
    <w:rPr>
      <w:b/>
      <w:bCs/>
    </w:rPr>
  </w:style>
  <w:style w:type="table" w:styleId="57">
    <w:name w:val="Table Grid"/>
    <w:basedOn w:val="5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autoRedefine/>
    <w:qFormat/>
    <w:uiPriority w:val="0"/>
    <w:rPr>
      <w:b/>
      <w:bCs/>
    </w:rPr>
  </w:style>
  <w:style w:type="character" w:styleId="60">
    <w:name w:val="endnote reference"/>
    <w:autoRedefine/>
    <w:qFormat/>
    <w:uiPriority w:val="0"/>
    <w:rPr>
      <w:vertAlign w:val="superscript"/>
    </w:rPr>
  </w:style>
  <w:style w:type="character" w:styleId="61">
    <w:name w:val="page number"/>
    <w:basedOn w:val="58"/>
    <w:autoRedefine/>
    <w:qFormat/>
    <w:uiPriority w:val="0"/>
  </w:style>
  <w:style w:type="character" w:styleId="62">
    <w:name w:val="FollowedHyperlink"/>
    <w:basedOn w:val="58"/>
    <w:autoRedefine/>
    <w:unhideWhenUsed/>
    <w:qFormat/>
    <w:uiPriority w:val="99"/>
    <w:rPr>
      <w:color w:val="954F72"/>
      <w:u w:val="single"/>
    </w:rPr>
  </w:style>
  <w:style w:type="character" w:styleId="63">
    <w:name w:val="Emphasis"/>
    <w:autoRedefine/>
    <w:qFormat/>
    <w:uiPriority w:val="0"/>
    <w:rPr>
      <w:i/>
      <w:iCs/>
    </w:rPr>
  </w:style>
  <w:style w:type="character" w:styleId="64">
    <w:name w:val="HTML Definition"/>
    <w:basedOn w:val="58"/>
    <w:autoRedefine/>
    <w:unhideWhenUsed/>
    <w:qFormat/>
    <w:uiPriority w:val="99"/>
  </w:style>
  <w:style w:type="character" w:styleId="65">
    <w:name w:val="HTML Typewriter"/>
    <w:basedOn w:val="58"/>
    <w:autoRedefine/>
    <w:unhideWhenUsed/>
    <w:qFormat/>
    <w:uiPriority w:val="99"/>
    <w:rPr>
      <w:rFonts w:hint="default" w:ascii="monospace" w:hAnsi="monospace" w:eastAsia="monospace" w:cs="monospace"/>
      <w:sz w:val="20"/>
      <w:bdr w:val="single" w:color="F1F1F1" w:sz="6" w:space="0"/>
      <w:shd w:val="clear" w:color="auto" w:fill="F1F1F1"/>
    </w:rPr>
  </w:style>
  <w:style w:type="character" w:styleId="66">
    <w:name w:val="HTML Acronym"/>
    <w:basedOn w:val="58"/>
    <w:autoRedefine/>
    <w:unhideWhenUsed/>
    <w:qFormat/>
    <w:uiPriority w:val="99"/>
  </w:style>
  <w:style w:type="character" w:styleId="67">
    <w:name w:val="HTML Variable"/>
    <w:basedOn w:val="58"/>
    <w:autoRedefine/>
    <w:unhideWhenUsed/>
    <w:qFormat/>
    <w:uiPriority w:val="99"/>
  </w:style>
  <w:style w:type="character" w:styleId="68">
    <w:name w:val="Hyperlink"/>
    <w:basedOn w:val="58"/>
    <w:autoRedefine/>
    <w:unhideWhenUsed/>
    <w:qFormat/>
    <w:uiPriority w:val="99"/>
    <w:rPr>
      <w:color w:val="0563C1"/>
      <w:u w:val="single"/>
    </w:rPr>
  </w:style>
  <w:style w:type="character" w:styleId="69">
    <w:name w:val="HTML Code"/>
    <w:basedOn w:val="58"/>
    <w:autoRedefine/>
    <w:unhideWhenUsed/>
    <w:qFormat/>
    <w:uiPriority w:val="99"/>
    <w:rPr>
      <w:rFonts w:hint="default" w:ascii="monospace" w:hAnsi="monospace" w:eastAsia="monospace" w:cs="monospace"/>
      <w:sz w:val="20"/>
    </w:rPr>
  </w:style>
  <w:style w:type="character" w:styleId="70">
    <w:name w:val="annotation reference"/>
    <w:autoRedefine/>
    <w:qFormat/>
    <w:uiPriority w:val="0"/>
    <w:rPr>
      <w:sz w:val="21"/>
      <w:szCs w:val="21"/>
    </w:rPr>
  </w:style>
  <w:style w:type="character" w:styleId="71">
    <w:name w:val="HTML Cite"/>
    <w:basedOn w:val="58"/>
    <w:autoRedefine/>
    <w:unhideWhenUsed/>
    <w:qFormat/>
    <w:uiPriority w:val="99"/>
  </w:style>
  <w:style w:type="character" w:styleId="72">
    <w:name w:val="footnote reference"/>
    <w:autoRedefine/>
    <w:qFormat/>
    <w:uiPriority w:val="0"/>
    <w:rPr>
      <w:vertAlign w:val="superscript"/>
    </w:rPr>
  </w:style>
  <w:style w:type="character" w:styleId="73">
    <w:name w:val="HTML Keyboard"/>
    <w:basedOn w:val="58"/>
    <w:autoRedefine/>
    <w:unhideWhenUsed/>
    <w:qFormat/>
    <w:uiPriority w:val="99"/>
    <w:rPr>
      <w:rFonts w:hint="default" w:ascii="monospace" w:hAnsi="monospace" w:eastAsia="monospace" w:cs="monospace"/>
      <w:sz w:val="20"/>
    </w:rPr>
  </w:style>
  <w:style w:type="character" w:styleId="74">
    <w:name w:val="HTML Sample"/>
    <w:autoRedefine/>
    <w:qFormat/>
    <w:uiPriority w:val="0"/>
    <w:rPr>
      <w:rFonts w:hint="default" w:ascii="monospace" w:hAnsi="monospace" w:eastAsia="monospace" w:cs="monospace"/>
      <w:sz w:val="21"/>
      <w:szCs w:val="21"/>
    </w:rPr>
  </w:style>
  <w:style w:type="character" w:customStyle="1" w:styleId="75">
    <w:name w:val="标题 1 Char2"/>
    <w:basedOn w:val="58"/>
    <w:link w:val="4"/>
    <w:autoRedefine/>
    <w:qFormat/>
    <w:uiPriority w:val="0"/>
    <w:rPr>
      <w:rFonts w:ascii="Times New Roman" w:hAnsi="Times New Roman" w:eastAsia="宋体" w:cs="Times New Roman"/>
      <w:b/>
      <w:bCs/>
      <w:kern w:val="44"/>
      <w:sz w:val="44"/>
      <w:szCs w:val="44"/>
    </w:rPr>
  </w:style>
  <w:style w:type="character" w:customStyle="1" w:styleId="76">
    <w:name w:val="标题 2 Char1"/>
    <w:basedOn w:val="58"/>
    <w:link w:val="5"/>
    <w:autoRedefine/>
    <w:qFormat/>
    <w:uiPriority w:val="0"/>
    <w:rPr>
      <w:rFonts w:ascii="等线 Light" w:hAnsi="等线 Light" w:eastAsia="黑体" w:cs="Times New Roman"/>
      <w:bCs/>
      <w:sz w:val="24"/>
      <w:szCs w:val="32"/>
    </w:rPr>
  </w:style>
  <w:style w:type="character" w:customStyle="1" w:styleId="77">
    <w:name w:val="标题 3 Char2"/>
    <w:basedOn w:val="58"/>
    <w:link w:val="6"/>
    <w:autoRedefine/>
    <w:qFormat/>
    <w:uiPriority w:val="9"/>
    <w:rPr>
      <w:rFonts w:ascii="Times New Roman" w:hAnsi="Times New Roman" w:eastAsia="宋体" w:cs="Times New Roman"/>
      <w:b/>
      <w:bCs/>
      <w:sz w:val="32"/>
      <w:szCs w:val="32"/>
    </w:rPr>
  </w:style>
  <w:style w:type="character" w:customStyle="1" w:styleId="78">
    <w:name w:val="标题 4 Char2"/>
    <w:link w:val="7"/>
    <w:autoRedefine/>
    <w:qFormat/>
    <w:uiPriority w:val="0"/>
    <w:rPr>
      <w:rFonts w:ascii="Times New Roman" w:hAnsi="Times New Roman" w:eastAsia="宋体" w:cs="Times New Roman"/>
      <w:i/>
      <w:kern w:val="0"/>
      <w:szCs w:val="20"/>
    </w:rPr>
  </w:style>
  <w:style w:type="character" w:customStyle="1" w:styleId="79">
    <w:name w:val="正文缩进 Char"/>
    <w:link w:val="8"/>
    <w:autoRedefine/>
    <w:qFormat/>
    <w:uiPriority w:val="0"/>
    <w:rPr>
      <w:rFonts w:ascii="Times New Roman" w:hAnsi="Times New Roman" w:eastAsia="宋体" w:cs="Times New Roman"/>
      <w:szCs w:val="24"/>
    </w:rPr>
  </w:style>
  <w:style w:type="character" w:customStyle="1" w:styleId="80">
    <w:name w:val="标题 5 Char2"/>
    <w:link w:val="9"/>
    <w:autoRedefine/>
    <w:qFormat/>
    <w:uiPriority w:val="0"/>
    <w:rPr>
      <w:rFonts w:ascii="Calibri" w:hAnsi="Calibri" w:eastAsia="宋体" w:cs="Times New Roman"/>
      <w:b/>
      <w:bCs/>
      <w:sz w:val="28"/>
      <w:szCs w:val="28"/>
    </w:rPr>
  </w:style>
  <w:style w:type="character" w:customStyle="1" w:styleId="81">
    <w:name w:val="标题 6 Char2"/>
    <w:link w:val="10"/>
    <w:autoRedefine/>
    <w:qFormat/>
    <w:uiPriority w:val="0"/>
    <w:rPr>
      <w:rFonts w:ascii="Arial" w:hAnsi="Arial" w:eastAsia="黑体" w:cs="Times New Roman"/>
      <w:b/>
      <w:bCs/>
      <w:kern w:val="0"/>
      <w:sz w:val="24"/>
      <w:szCs w:val="24"/>
    </w:rPr>
  </w:style>
  <w:style w:type="character" w:customStyle="1" w:styleId="82">
    <w:name w:val="标题 7 Char2"/>
    <w:link w:val="11"/>
    <w:autoRedefine/>
    <w:qFormat/>
    <w:uiPriority w:val="0"/>
    <w:rPr>
      <w:rFonts w:ascii="Times New Roman" w:hAnsi="Times New Roman" w:eastAsia="宋体" w:cs="Times New Roman"/>
      <w:b/>
      <w:bCs/>
      <w:kern w:val="0"/>
      <w:sz w:val="24"/>
      <w:szCs w:val="24"/>
    </w:rPr>
  </w:style>
  <w:style w:type="character" w:customStyle="1" w:styleId="83">
    <w:name w:val="标题 8 Char2"/>
    <w:link w:val="12"/>
    <w:autoRedefine/>
    <w:qFormat/>
    <w:uiPriority w:val="0"/>
    <w:rPr>
      <w:rFonts w:ascii="Arial" w:hAnsi="Arial" w:eastAsia="黑体" w:cs="Times New Roman"/>
      <w:kern w:val="0"/>
      <w:sz w:val="24"/>
      <w:szCs w:val="24"/>
    </w:rPr>
  </w:style>
  <w:style w:type="character" w:customStyle="1" w:styleId="84">
    <w:name w:val="标题 9 Char2"/>
    <w:link w:val="13"/>
    <w:autoRedefine/>
    <w:qFormat/>
    <w:uiPriority w:val="0"/>
    <w:rPr>
      <w:rFonts w:ascii="Arial" w:hAnsi="Arial" w:eastAsia="黑体" w:cs="Times New Roman"/>
      <w:kern w:val="0"/>
      <w:szCs w:val="21"/>
    </w:rPr>
  </w:style>
  <w:style w:type="character" w:customStyle="1" w:styleId="85">
    <w:name w:val="文档结构图 Char3"/>
    <w:link w:val="17"/>
    <w:autoRedefine/>
    <w:qFormat/>
    <w:uiPriority w:val="0"/>
    <w:rPr>
      <w:rFonts w:ascii="宋体" w:hAnsi="Times New Roman" w:eastAsia="宋体" w:cs="Times New Roman"/>
      <w:sz w:val="18"/>
      <w:szCs w:val="18"/>
    </w:rPr>
  </w:style>
  <w:style w:type="character" w:customStyle="1" w:styleId="86">
    <w:name w:val="批注文字 Char2"/>
    <w:link w:val="18"/>
    <w:autoRedefine/>
    <w:qFormat/>
    <w:uiPriority w:val="0"/>
    <w:rPr>
      <w:rFonts w:ascii="Times New Roman" w:hAnsi="Times New Roman" w:eastAsia="宋体" w:cs="Times New Roman"/>
      <w:szCs w:val="24"/>
    </w:rPr>
  </w:style>
  <w:style w:type="character" w:customStyle="1" w:styleId="87">
    <w:name w:val="称呼 Char1"/>
    <w:link w:val="19"/>
    <w:autoRedefine/>
    <w:qFormat/>
    <w:uiPriority w:val="0"/>
    <w:rPr>
      <w:rFonts w:ascii="仿宋_GB2312" w:hAnsi="Calibri" w:eastAsia="仿宋_GB2312" w:cs="Times New Roman"/>
      <w:bCs/>
      <w:sz w:val="28"/>
      <w:szCs w:val="20"/>
    </w:rPr>
  </w:style>
  <w:style w:type="character" w:customStyle="1" w:styleId="88">
    <w:name w:val="正文文本 3 Char1"/>
    <w:link w:val="20"/>
    <w:autoRedefine/>
    <w:qFormat/>
    <w:uiPriority w:val="0"/>
    <w:rPr>
      <w:rFonts w:ascii="宋体" w:hAnsi="Times New Roman" w:eastAsia="宋体" w:cs="Times New Roman"/>
      <w:sz w:val="24"/>
      <w:szCs w:val="20"/>
    </w:rPr>
  </w:style>
  <w:style w:type="character" w:customStyle="1" w:styleId="89">
    <w:name w:val="正文文本 Char3"/>
    <w:link w:val="21"/>
    <w:autoRedefine/>
    <w:qFormat/>
    <w:uiPriority w:val="0"/>
    <w:rPr>
      <w:rFonts w:ascii="Times New Roman" w:hAnsi="Times New Roman" w:eastAsia="宋体" w:cs="Times New Roman"/>
      <w:szCs w:val="24"/>
    </w:rPr>
  </w:style>
  <w:style w:type="character" w:customStyle="1" w:styleId="90">
    <w:name w:val="正文文本缩进 Char1"/>
    <w:link w:val="3"/>
    <w:autoRedefine/>
    <w:qFormat/>
    <w:uiPriority w:val="0"/>
    <w:rPr>
      <w:rFonts w:ascii="Times New Roman" w:hAnsi="Times New Roman" w:eastAsia="宋体" w:cs="Times New Roman"/>
      <w:szCs w:val="24"/>
    </w:rPr>
  </w:style>
  <w:style w:type="character" w:customStyle="1" w:styleId="91">
    <w:name w:val="纯文本 Char2"/>
    <w:link w:val="28"/>
    <w:autoRedefine/>
    <w:qFormat/>
    <w:uiPriority w:val="0"/>
    <w:rPr>
      <w:rFonts w:ascii="宋体" w:hAnsi="Courier New" w:eastAsia="宋体" w:cs="Times New Roman"/>
      <w:szCs w:val="20"/>
    </w:rPr>
  </w:style>
  <w:style w:type="character" w:customStyle="1" w:styleId="92">
    <w:name w:val="日期 Char3"/>
    <w:link w:val="30"/>
    <w:autoRedefine/>
    <w:qFormat/>
    <w:uiPriority w:val="0"/>
    <w:rPr>
      <w:rFonts w:ascii="Times New Roman" w:hAnsi="Times New Roman" w:eastAsia="宋体" w:cs="Times New Roman"/>
      <w:sz w:val="24"/>
      <w:szCs w:val="20"/>
    </w:rPr>
  </w:style>
  <w:style w:type="character" w:customStyle="1" w:styleId="93">
    <w:name w:val="正文文本缩进 2 Char1"/>
    <w:link w:val="31"/>
    <w:autoRedefine/>
    <w:qFormat/>
    <w:uiPriority w:val="0"/>
    <w:rPr>
      <w:rFonts w:ascii="宋体" w:hAnsi="宋体" w:eastAsia="宋体" w:cs="Times New Roman"/>
      <w:sz w:val="27"/>
      <w:szCs w:val="27"/>
    </w:rPr>
  </w:style>
  <w:style w:type="character" w:customStyle="1" w:styleId="94">
    <w:name w:val="尾注文本 Char"/>
    <w:link w:val="32"/>
    <w:autoRedefine/>
    <w:qFormat/>
    <w:uiPriority w:val="0"/>
    <w:rPr>
      <w:rFonts w:ascii="Times New Roman" w:hAnsi="Times New Roman" w:eastAsia="宋体" w:cs="Times New Roman"/>
      <w:szCs w:val="24"/>
    </w:rPr>
  </w:style>
  <w:style w:type="character" w:customStyle="1" w:styleId="95">
    <w:name w:val="批注框文本 Char3"/>
    <w:basedOn w:val="58"/>
    <w:link w:val="33"/>
    <w:autoRedefine/>
    <w:qFormat/>
    <w:uiPriority w:val="0"/>
    <w:rPr>
      <w:rFonts w:ascii="Times New Roman" w:hAnsi="Times New Roman" w:eastAsia="宋体" w:cs="Times New Roman"/>
      <w:sz w:val="18"/>
      <w:szCs w:val="18"/>
    </w:rPr>
  </w:style>
  <w:style w:type="character" w:customStyle="1" w:styleId="96">
    <w:name w:val="页脚 Char2"/>
    <w:basedOn w:val="58"/>
    <w:link w:val="34"/>
    <w:autoRedefine/>
    <w:qFormat/>
    <w:uiPriority w:val="0"/>
    <w:rPr>
      <w:sz w:val="18"/>
      <w:szCs w:val="18"/>
    </w:rPr>
  </w:style>
  <w:style w:type="character" w:customStyle="1" w:styleId="97">
    <w:name w:val="页眉 Char2"/>
    <w:basedOn w:val="58"/>
    <w:link w:val="35"/>
    <w:autoRedefine/>
    <w:qFormat/>
    <w:uiPriority w:val="0"/>
    <w:rPr>
      <w:sz w:val="18"/>
      <w:szCs w:val="18"/>
    </w:rPr>
  </w:style>
  <w:style w:type="character" w:customStyle="1" w:styleId="98">
    <w:name w:val="副标题 Char2"/>
    <w:link w:val="41"/>
    <w:autoRedefine/>
    <w:qFormat/>
    <w:uiPriority w:val="0"/>
    <w:rPr>
      <w:rFonts w:ascii="Arial" w:hAnsi="Arial" w:eastAsia="宋体" w:cs="Times New Roman"/>
      <w:b/>
      <w:bCs/>
      <w:kern w:val="28"/>
      <w:sz w:val="32"/>
      <w:szCs w:val="32"/>
    </w:rPr>
  </w:style>
  <w:style w:type="character" w:customStyle="1" w:styleId="99">
    <w:name w:val="脚注文本 Char1"/>
    <w:basedOn w:val="58"/>
    <w:link w:val="43"/>
    <w:autoRedefine/>
    <w:qFormat/>
    <w:uiPriority w:val="0"/>
    <w:rPr>
      <w:rFonts w:ascii="Times New Roman" w:hAnsi="Times New Roman" w:eastAsia="宋体" w:cs="Times New Roman"/>
      <w:sz w:val="18"/>
      <w:szCs w:val="18"/>
    </w:rPr>
  </w:style>
  <w:style w:type="character" w:customStyle="1" w:styleId="100">
    <w:name w:val="正文文本缩进 3 Char1"/>
    <w:link w:val="45"/>
    <w:autoRedefine/>
    <w:qFormat/>
    <w:uiPriority w:val="0"/>
    <w:rPr>
      <w:rFonts w:ascii="Times New Roman" w:hAnsi="Times New Roman" w:eastAsia="宋体" w:cs="Times New Roman"/>
      <w:sz w:val="16"/>
      <w:szCs w:val="16"/>
    </w:rPr>
  </w:style>
  <w:style w:type="character" w:customStyle="1" w:styleId="101">
    <w:name w:val="正文文本 2 Char1"/>
    <w:link w:val="49"/>
    <w:autoRedefine/>
    <w:qFormat/>
    <w:uiPriority w:val="0"/>
    <w:rPr>
      <w:rFonts w:ascii="Times New Roman" w:hAnsi="Times New Roman" w:eastAsia="宋体" w:cs="Times New Roman"/>
      <w:szCs w:val="24"/>
    </w:rPr>
  </w:style>
  <w:style w:type="character" w:customStyle="1" w:styleId="102">
    <w:name w:val="HTML 预设格式 Char"/>
    <w:link w:val="52"/>
    <w:autoRedefine/>
    <w:qFormat/>
    <w:uiPriority w:val="99"/>
    <w:rPr>
      <w:rFonts w:ascii="宋体" w:hAnsi="宋体" w:eastAsia="宋体" w:cs="宋体"/>
      <w:kern w:val="0"/>
      <w:sz w:val="24"/>
      <w:szCs w:val="24"/>
    </w:rPr>
  </w:style>
  <w:style w:type="character" w:customStyle="1" w:styleId="103">
    <w:name w:val="标题 Char2"/>
    <w:link w:val="54"/>
    <w:autoRedefine/>
    <w:qFormat/>
    <w:uiPriority w:val="0"/>
    <w:rPr>
      <w:rFonts w:ascii="Arial" w:hAnsi="Arial" w:eastAsia="宋体" w:cs="Times New Roman"/>
      <w:b/>
      <w:kern w:val="0"/>
      <w:sz w:val="32"/>
      <w:szCs w:val="20"/>
    </w:rPr>
  </w:style>
  <w:style w:type="character" w:customStyle="1" w:styleId="104">
    <w:name w:val="批注主题 Char3"/>
    <w:basedOn w:val="86"/>
    <w:link w:val="55"/>
    <w:autoRedefine/>
    <w:qFormat/>
    <w:uiPriority w:val="0"/>
    <w:rPr>
      <w:rFonts w:ascii="Times New Roman" w:hAnsi="Times New Roman" w:eastAsia="宋体" w:cs="Times New Roman"/>
      <w:b/>
      <w:bCs/>
      <w:szCs w:val="24"/>
    </w:rPr>
  </w:style>
  <w:style w:type="paragraph" w:customStyle="1" w:styleId="105">
    <w:name w:val="TOC 标题1"/>
    <w:basedOn w:val="4"/>
    <w:next w:val="1"/>
    <w:autoRedefine/>
    <w:unhideWhenUsed/>
    <w:qFormat/>
    <w:uiPriority w:val="39"/>
    <w:pPr>
      <w:widowControl/>
      <w:spacing w:before="240" w:after="0" w:line="259" w:lineRule="auto"/>
      <w:ind w:firstLine="0" w:firstLineChars="0"/>
      <w:jc w:val="left"/>
      <w:outlineLvl w:val="9"/>
    </w:pPr>
    <w:rPr>
      <w:rFonts w:ascii="等线 Light" w:hAnsi="等线 Light" w:eastAsia="等线 Light"/>
      <w:b w:val="0"/>
      <w:bCs w:val="0"/>
      <w:color w:val="2F5496"/>
      <w:kern w:val="0"/>
      <w:sz w:val="32"/>
      <w:szCs w:val="32"/>
    </w:rPr>
  </w:style>
  <w:style w:type="character" w:customStyle="1" w:styleId="106">
    <w:name w:val="批注文字 字符"/>
    <w:basedOn w:val="58"/>
    <w:autoRedefine/>
    <w:semiHidden/>
    <w:qFormat/>
    <w:uiPriority w:val="99"/>
    <w:rPr>
      <w:rFonts w:ascii="Times New Roman" w:hAnsi="Times New Roman" w:eastAsia="宋体" w:cs="Times New Roman"/>
      <w:szCs w:val="24"/>
    </w:rPr>
  </w:style>
  <w:style w:type="character" w:customStyle="1" w:styleId="107">
    <w:name w:val="未处理的提及1"/>
    <w:basedOn w:val="58"/>
    <w:autoRedefine/>
    <w:unhideWhenUsed/>
    <w:qFormat/>
    <w:uiPriority w:val="99"/>
    <w:rPr>
      <w:color w:val="605E5C"/>
      <w:shd w:val="clear" w:color="auto" w:fill="E1DFDD"/>
    </w:rPr>
  </w:style>
  <w:style w:type="character" w:customStyle="1" w:styleId="108">
    <w:name w:val="脚注文本 Char"/>
    <w:autoRedefine/>
    <w:qFormat/>
    <w:uiPriority w:val="0"/>
    <w:rPr>
      <w:kern w:val="2"/>
      <w:sz w:val="18"/>
      <w:szCs w:val="18"/>
    </w:rPr>
  </w:style>
  <w:style w:type="table" w:customStyle="1" w:styleId="109">
    <w:name w:val="网格型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0">
    <w:name w:val="标题 4 字符"/>
    <w:basedOn w:val="58"/>
    <w:autoRedefine/>
    <w:semiHidden/>
    <w:qFormat/>
    <w:uiPriority w:val="9"/>
    <w:rPr>
      <w:rFonts w:ascii="等线 Light" w:hAnsi="等线 Light" w:eastAsia="等线 Light" w:cs="Times New Roman"/>
      <w:b/>
      <w:bCs/>
      <w:sz w:val="28"/>
      <w:szCs w:val="28"/>
    </w:rPr>
  </w:style>
  <w:style w:type="character" w:customStyle="1" w:styleId="111">
    <w:name w:val="标题 5 字符"/>
    <w:basedOn w:val="58"/>
    <w:autoRedefine/>
    <w:semiHidden/>
    <w:qFormat/>
    <w:uiPriority w:val="9"/>
    <w:rPr>
      <w:rFonts w:ascii="Times New Roman" w:hAnsi="Times New Roman" w:eastAsia="宋体" w:cs="Times New Roman"/>
      <w:b/>
      <w:bCs/>
      <w:sz w:val="28"/>
      <w:szCs w:val="28"/>
    </w:rPr>
  </w:style>
  <w:style w:type="character" w:customStyle="1" w:styleId="112">
    <w:name w:val="标题 6 字符"/>
    <w:basedOn w:val="58"/>
    <w:autoRedefine/>
    <w:semiHidden/>
    <w:qFormat/>
    <w:uiPriority w:val="9"/>
    <w:rPr>
      <w:rFonts w:ascii="等线 Light" w:hAnsi="等线 Light" w:eastAsia="等线 Light" w:cs="Times New Roman"/>
      <w:b/>
      <w:bCs/>
      <w:sz w:val="24"/>
      <w:szCs w:val="24"/>
    </w:rPr>
  </w:style>
  <w:style w:type="character" w:customStyle="1" w:styleId="113">
    <w:name w:val="标题 7 字符"/>
    <w:basedOn w:val="58"/>
    <w:autoRedefine/>
    <w:semiHidden/>
    <w:qFormat/>
    <w:uiPriority w:val="9"/>
    <w:rPr>
      <w:rFonts w:ascii="Times New Roman" w:hAnsi="Times New Roman" w:eastAsia="宋体" w:cs="Times New Roman"/>
      <w:b/>
      <w:bCs/>
      <w:sz w:val="24"/>
      <w:szCs w:val="24"/>
    </w:rPr>
  </w:style>
  <w:style w:type="character" w:customStyle="1" w:styleId="114">
    <w:name w:val="标题 8 字符"/>
    <w:basedOn w:val="58"/>
    <w:autoRedefine/>
    <w:semiHidden/>
    <w:qFormat/>
    <w:uiPriority w:val="9"/>
    <w:rPr>
      <w:rFonts w:ascii="等线 Light" w:hAnsi="等线 Light" w:eastAsia="等线 Light" w:cs="Times New Roman"/>
      <w:sz w:val="24"/>
      <w:szCs w:val="24"/>
    </w:rPr>
  </w:style>
  <w:style w:type="character" w:customStyle="1" w:styleId="115">
    <w:name w:val="标题 9 字符"/>
    <w:basedOn w:val="58"/>
    <w:autoRedefine/>
    <w:semiHidden/>
    <w:qFormat/>
    <w:uiPriority w:val="9"/>
    <w:rPr>
      <w:rFonts w:ascii="等线 Light" w:hAnsi="等线 Light" w:eastAsia="等线 Light" w:cs="Times New Roman"/>
      <w:szCs w:val="21"/>
    </w:rPr>
  </w:style>
  <w:style w:type="character" w:customStyle="1" w:styleId="116">
    <w:name w:val="正文文本 3 字符"/>
    <w:basedOn w:val="58"/>
    <w:autoRedefine/>
    <w:qFormat/>
    <w:uiPriority w:val="0"/>
    <w:rPr>
      <w:rFonts w:ascii="Times New Roman" w:hAnsi="Times New Roman" w:eastAsia="宋体" w:cs="Times New Roman"/>
      <w:sz w:val="16"/>
      <w:szCs w:val="16"/>
    </w:rPr>
  </w:style>
  <w:style w:type="character" w:customStyle="1" w:styleId="117">
    <w:name w:val="脚注文本 字符1"/>
    <w:autoRedefine/>
    <w:qFormat/>
    <w:uiPriority w:val="0"/>
    <w:rPr>
      <w:rFonts w:ascii="Times New Roman" w:hAnsi="Times New Roman" w:eastAsia="宋体" w:cs="Times New Roman"/>
      <w:kern w:val="0"/>
      <w:sz w:val="18"/>
      <w:szCs w:val="20"/>
    </w:rPr>
  </w:style>
  <w:style w:type="character" w:customStyle="1" w:styleId="118">
    <w:name w:val="正文文本 (2) + Sylfaen2"/>
    <w:autoRedefine/>
    <w:qFormat/>
    <w:uiPriority w:val="99"/>
    <w:rPr>
      <w:rFonts w:ascii="Sylfaen" w:hAnsi="Sylfaen" w:eastAsia="MingLiU" w:cs="Sylfaen"/>
      <w:spacing w:val="0"/>
      <w:sz w:val="23"/>
      <w:szCs w:val="23"/>
      <w:shd w:val="clear" w:color="auto" w:fill="FFFFFF"/>
      <w:lang w:val="en-US" w:eastAsia="en-US"/>
    </w:rPr>
  </w:style>
  <w:style w:type="paragraph" w:customStyle="1" w:styleId="119">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121">
    <w:name w:val="正文文本缩进 字符"/>
    <w:basedOn w:val="58"/>
    <w:autoRedefine/>
    <w:semiHidden/>
    <w:qFormat/>
    <w:uiPriority w:val="99"/>
    <w:rPr>
      <w:rFonts w:ascii="Times New Roman" w:hAnsi="Times New Roman" w:eastAsia="宋体" w:cs="Times New Roman"/>
      <w:szCs w:val="24"/>
    </w:rPr>
  </w:style>
  <w:style w:type="character" w:customStyle="1" w:styleId="122">
    <w:name w:val="正文文本缩进 3 字符"/>
    <w:basedOn w:val="58"/>
    <w:autoRedefine/>
    <w:semiHidden/>
    <w:qFormat/>
    <w:uiPriority w:val="99"/>
    <w:rPr>
      <w:rFonts w:ascii="Times New Roman" w:hAnsi="Times New Roman" w:eastAsia="宋体" w:cs="Times New Roman"/>
      <w:sz w:val="16"/>
      <w:szCs w:val="16"/>
    </w:rPr>
  </w:style>
  <w:style w:type="paragraph" w:customStyle="1" w:styleId="123">
    <w:name w:val="1"/>
    <w:basedOn w:val="1"/>
    <w:autoRedefine/>
    <w:qFormat/>
    <w:uiPriority w:val="0"/>
    <w:pPr>
      <w:ind w:firstLine="0" w:firstLineChars="0"/>
    </w:pPr>
  </w:style>
  <w:style w:type="paragraph" w:customStyle="1" w:styleId="124">
    <w:name w:val="4"/>
    <w:basedOn w:val="1"/>
    <w:next w:val="1"/>
    <w:autoRedefine/>
    <w:unhideWhenUsed/>
    <w:qFormat/>
    <w:uiPriority w:val="39"/>
    <w:pPr>
      <w:adjustRightInd w:val="0"/>
      <w:snapToGrid w:val="0"/>
      <w:spacing w:line="360" w:lineRule="auto"/>
      <w:ind w:firstLine="270" w:firstLineChars="150"/>
      <w:jc w:val="left"/>
    </w:pPr>
    <w:rPr>
      <w:rFonts w:ascii="Calibri" w:hAnsi="Calibri"/>
      <w:sz w:val="18"/>
      <w:szCs w:val="18"/>
    </w:rPr>
  </w:style>
  <w:style w:type="character" w:customStyle="1" w:styleId="125">
    <w:name w:val="font161"/>
    <w:autoRedefine/>
    <w:qFormat/>
    <w:uiPriority w:val="0"/>
    <w:rPr>
      <w:b/>
      <w:bCs/>
      <w:sz w:val="32"/>
      <w:szCs w:val="32"/>
    </w:rPr>
  </w:style>
  <w:style w:type="character" w:customStyle="1" w:styleId="126">
    <w:name w:val="正文文本 字符"/>
    <w:basedOn w:val="58"/>
    <w:autoRedefine/>
    <w:semiHidden/>
    <w:qFormat/>
    <w:uiPriority w:val="99"/>
    <w:rPr>
      <w:rFonts w:ascii="Times New Roman" w:hAnsi="Times New Roman" w:eastAsia="宋体" w:cs="Times New Roman"/>
      <w:szCs w:val="24"/>
    </w:rPr>
  </w:style>
  <w:style w:type="character" w:customStyle="1" w:styleId="127">
    <w:name w:val="标题 字符"/>
    <w:basedOn w:val="58"/>
    <w:autoRedefine/>
    <w:qFormat/>
    <w:uiPriority w:val="10"/>
    <w:rPr>
      <w:rFonts w:ascii="等线 Light" w:hAnsi="等线 Light" w:eastAsia="等线 Light" w:cs="Times New Roman"/>
      <w:b/>
      <w:bCs/>
      <w:sz w:val="32"/>
      <w:szCs w:val="32"/>
    </w:rPr>
  </w:style>
  <w:style w:type="paragraph" w:customStyle="1" w:styleId="128">
    <w:name w:val="6'"/>
    <w:basedOn w:val="1"/>
    <w:autoRedefine/>
    <w:qFormat/>
    <w:uiPriority w:val="0"/>
    <w:pPr>
      <w:autoSpaceDE w:val="0"/>
      <w:autoSpaceDN w:val="0"/>
      <w:adjustRightInd w:val="0"/>
      <w:snapToGrid w:val="0"/>
      <w:spacing w:line="320" w:lineRule="exact"/>
      <w:ind w:firstLine="0" w:firstLineChars="0"/>
      <w:jc w:val="center"/>
      <w:textAlignment w:val="baseline"/>
    </w:pPr>
    <w:rPr>
      <w:spacing w:val="20"/>
      <w:kern w:val="28"/>
      <w:szCs w:val="20"/>
    </w:rPr>
  </w:style>
  <w:style w:type="character" w:customStyle="1" w:styleId="129">
    <w:name w:val="日期 字符"/>
    <w:basedOn w:val="58"/>
    <w:autoRedefine/>
    <w:semiHidden/>
    <w:qFormat/>
    <w:uiPriority w:val="99"/>
    <w:rPr>
      <w:rFonts w:ascii="Times New Roman" w:hAnsi="Times New Roman" w:eastAsia="宋体" w:cs="Times New Roman"/>
      <w:szCs w:val="24"/>
    </w:rPr>
  </w:style>
  <w:style w:type="paragraph" w:customStyle="1" w:styleId="130">
    <w:name w:val="表格"/>
    <w:basedOn w:val="1"/>
    <w:autoRedefine/>
    <w:qFormat/>
    <w:uiPriority w:val="0"/>
    <w:pPr>
      <w:ind w:firstLine="0" w:firstLineChars="0"/>
      <w:jc w:val="center"/>
      <w:textAlignment w:val="center"/>
    </w:pPr>
    <w:rPr>
      <w:rFonts w:ascii="华文细黑" w:hAnsi="华文细黑"/>
      <w:kern w:val="0"/>
      <w:szCs w:val="20"/>
    </w:rPr>
  </w:style>
  <w:style w:type="paragraph" w:customStyle="1" w:styleId="131">
    <w:name w:val="表格文字"/>
    <w:basedOn w:val="1"/>
    <w:autoRedefine/>
    <w:qFormat/>
    <w:uiPriority w:val="0"/>
    <w:pPr>
      <w:adjustRightInd w:val="0"/>
      <w:spacing w:line="420" w:lineRule="atLeast"/>
      <w:ind w:firstLine="0" w:firstLineChars="0"/>
      <w:jc w:val="left"/>
      <w:textAlignment w:val="baseline"/>
    </w:pPr>
    <w:rPr>
      <w:kern w:val="0"/>
      <w:szCs w:val="20"/>
    </w:rPr>
  </w:style>
  <w:style w:type="character" w:customStyle="1" w:styleId="132">
    <w:name w:val="正文文本缩进 2 字符"/>
    <w:basedOn w:val="58"/>
    <w:autoRedefine/>
    <w:semiHidden/>
    <w:qFormat/>
    <w:uiPriority w:val="99"/>
    <w:rPr>
      <w:rFonts w:ascii="Times New Roman" w:hAnsi="Times New Roman" w:eastAsia="宋体" w:cs="Times New Roman"/>
      <w:szCs w:val="24"/>
    </w:rPr>
  </w:style>
  <w:style w:type="paragraph" w:customStyle="1" w:styleId="133">
    <w:name w:val="表格方字"/>
    <w:basedOn w:val="1"/>
    <w:autoRedefine/>
    <w:qFormat/>
    <w:uiPriority w:val="0"/>
    <w:pPr>
      <w:adjustRightInd w:val="0"/>
      <w:spacing w:before="60" w:after="60" w:line="420" w:lineRule="atLeast"/>
      <w:ind w:firstLine="0" w:firstLineChars="0"/>
      <w:jc w:val="left"/>
      <w:textAlignment w:val="baseline"/>
    </w:pPr>
    <w:rPr>
      <w:kern w:val="0"/>
      <w:szCs w:val="20"/>
    </w:rPr>
  </w:style>
  <w:style w:type="paragraph" w:customStyle="1" w:styleId="134">
    <w:name w:val="表头"/>
    <w:basedOn w:val="133"/>
    <w:autoRedefine/>
    <w:qFormat/>
    <w:uiPriority w:val="0"/>
    <w:rPr>
      <w:rFonts w:ascii="黑体" w:eastAsia="黑体"/>
      <w:b/>
    </w:rPr>
  </w:style>
  <w:style w:type="paragraph" w:customStyle="1" w:styleId="135">
    <w:name w:val="表格1"/>
    <w:basedOn w:val="1"/>
    <w:autoRedefine/>
    <w:qFormat/>
    <w:uiPriority w:val="0"/>
    <w:pPr>
      <w:adjustRightInd w:val="0"/>
      <w:spacing w:line="420" w:lineRule="atLeast"/>
      <w:ind w:left="284" w:firstLine="0" w:firstLineChars="0"/>
      <w:textAlignment w:val="baseline"/>
    </w:pPr>
    <w:rPr>
      <w:kern w:val="0"/>
      <w:szCs w:val="20"/>
    </w:rPr>
  </w:style>
  <w:style w:type="paragraph" w:customStyle="1" w:styleId="136">
    <w:name w:val="表格3"/>
    <w:basedOn w:val="1"/>
    <w:autoRedefine/>
    <w:qFormat/>
    <w:uiPriority w:val="0"/>
    <w:pPr>
      <w:adjustRightInd w:val="0"/>
      <w:spacing w:line="420" w:lineRule="atLeast"/>
      <w:ind w:firstLine="0" w:firstLineChars="0"/>
      <w:textAlignment w:val="baseline"/>
    </w:pPr>
    <w:rPr>
      <w:rFonts w:eastAsia="楷体"/>
      <w:kern w:val="0"/>
      <w:szCs w:val="20"/>
    </w:rPr>
  </w:style>
  <w:style w:type="character" w:customStyle="1" w:styleId="137">
    <w:name w:val="数字"/>
    <w:autoRedefine/>
    <w:qFormat/>
    <w:uiPriority w:val="0"/>
    <w:rPr>
      <w:rFonts w:eastAsia="黑体"/>
      <w:b/>
      <w:sz w:val="21"/>
    </w:rPr>
  </w:style>
  <w:style w:type="paragraph" w:customStyle="1" w:styleId="138">
    <w:name w:val="表格5"/>
    <w:basedOn w:val="139"/>
    <w:autoRedefine/>
    <w:qFormat/>
    <w:uiPriority w:val="0"/>
    <w:pPr>
      <w:ind w:left="1021" w:hanging="284"/>
    </w:pPr>
    <w:rPr>
      <w:rFonts w:ascii="宋体"/>
    </w:rPr>
  </w:style>
  <w:style w:type="paragraph" w:customStyle="1" w:styleId="139">
    <w:name w:val="表格2"/>
    <w:basedOn w:val="1"/>
    <w:autoRedefine/>
    <w:qFormat/>
    <w:uiPriority w:val="0"/>
    <w:pPr>
      <w:adjustRightInd w:val="0"/>
      <w:spacing w:line="420" w:lineRule="atLeast"/>
      <w:ind w:left="284" w:firstLine="454" w:firstLineChars="0"/>
      <w:textAlignment w:val="baseline"/>
    </w:pPr>
    <w:rPr>
      <w:kern w:val="0"/>
      <w:szCs w:val="20"/>
    </w:rPr>
  </w:style>
  <w:style w:type="paragraph" w:customStyle="1" w:styleId="140">
    <w:name w:val="表格4"/>
    <w:basedOn w:val="1"/>
    <w:autoRedefine/>
    <w:qFormat/>
    <w:uiPriority w:val="0"/>
    <w:pPr>
      <w:adjustRightInd w:val="0"/>
      <w:spacing w:line="420" w:lineRule="atLeast"/>
      <w:ind w:left="1021" w:firstLine="0" w:firstLineChars="0"/>
      <w:textAlignment w:val="baseline"/>
    </w:pPr>
    <w:rPr>
      <w:kern w:val="0"/>
      <w:szCs w:val="20"/>
    </w:rPr>
  </w:style>
  <w:style w:type="paragraph" w:customStyle="1" w:styleId="141">
    <w:name w:val="表格6"/>
    <w:basedOn w:val="138"/>
    <w:autoRedefine/>
    <w:qFormat/>
    <w:uiPriority w:val="0"/>
    <w:pPr>
      <w:ind w:left="737" w:firstLine="0"/>
    </w:pPr>
  </w:style>
  <w:style w:type="character" w:customStyle="1" w:styleId="142">
    <w:name w:val="纯文本 字符"/>
    <w:basedOn w:val="58"/>
    <w:autoRedefine/>
    <w:semiHidden/>
    <w:qFormat/>
    <w:uiPriority w:val="99"/>
    <w:rPr>
      <w:rFonts w:ascii="等线" w:hAnsi="Courier New" w:cs="Courier New"/>
      <w:szCs w:val="24"/>
    </w:rPr>
  </w:style>
  <w:style w:type="table" w:customStyle="1" w:styleId="143">
    <w:name w:val="网格型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4">
    <w:name w:val="2"/>
    <w:basedOn w:val="1"/>
    <w:autoRedefine/>
    <w:qFormat/>
    <w:uiPriority w:val="0"/>
    <w:pPr>
      <w:adjustRightInd w:val="0"/>
      <w:spacing w:line="420" w:lineRule="atLeast"/>
      <w:ind w:left="1134" w:hanging="227" w:firstLineChars="0"/>
      <w:textAlignment w:val="baseline"/>
    </w:pPr>
    <w:rPr>
      <w:kern w:val="0"/>
      <w:szCs w:val="20"/>
    </w:rPr>
  </w:style>
  <w:style w:type="character" w:customStyle="1" w:styleId="145">
    <w:name w:val="正文文本 2 字符"/>
    <w:basedOn w:val="58"/>
    <w:autoRedefine/>
    <w:semiHidden/>
    <w:qFormat/>
    <w:uiPriority w:val="99"/>
    <w:rPr>
      <w:rFonts w:ascii="Times New Roman" w:hAnsi="Times New Roman" w:eastAsia="宋体" w:cs="Times New Roman"/>
      <w:szCs w:val="24"/>
    </w:rPr>
  </w:style>
  <w:style w:type="paragraph" w:customStyle="1" w:styleId="146">
    <w:name w:val="表中"/>
    <w:basedOn w:val="1"/>
    <w:autoRedefine/>
    <w:qFormat/>
    <w:uiPriority w:val="0"/>
    <w:pPr>
      <w:adjustRightInd w:val="0"/>
      <w:spacing w:line="360" w:lineRule="atLeast"/>
      <w:ind w:firstLine="0" w:firstLineChars="0"/>
      <w:jc w:val="center"/>
      <w:textAlignment w:val="baseline"/>
    </w:pPr>
    <w:rPr>
      <w:kern w:val="0"/>
      <w:szCs w:val="20"/>
    </w:rPr>
  </w:style>
  <w:style w:type="paragraph" w:customStyle="1" w:styleId="147">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48">
    <w:name w:val="Char Char Char Char Char Char"/>
    <w:basedOn w:val="1"/>
    <w:autoRedefine/>
    <w:qFormat/>
    <w:uiPriority w:val="0"/>
    <w:pPr>
      <w:ind w:firstLine="0" w:firstLineChars="0"/>
    </w:pPr>
  </w:style>
  <w:style w:type="paragraph" w:customStyle="1" w:styleId="149">
    <w:name w:val="Char"/>
    <w:basedOn w:val="1"/>
    <w:autoRedefine/>
    <w:qFormat/>
    <w:uiPriority w:val="0"/>
    <w:pPr>
      <w:ind w:firstLine="0" w:firstLineChars="0"/>
    </w:pPr>
  </w:style>
  <w:style w:type="character" w:customStyle="1" w:styleId="150">
    <w:name w:val="尾注文本 字符"/>
    <w:basedOn w:val="58"/>
    <w:autoRedefine/>
    <w:semiHidden/>
    <w:qFormat/>
    <w:uiPriority w:val="99"/>
    <w:rPr>
      <w:rFonts w:ascii="Times New Roman" w:hAnsi="Times New Roman" w:eastAsia="宋体" w:cs="Times New Roman"/>
      <w:szCs w:val="24"/>
    </w:rPr>
  </w:style>
  <w:style w:type="paragraph" w:customStyle="1" w:styleId="151">
    <w:name w:val="Char1"/>
    <w:basedOn w:val="1"/>
    <w:autoRedefine/>
    <w:qFormat/>
    <w:uiPriority w:val="0"/>
    <w:pPr>
      <w:ind w:firstLine="0" w:firstLineChars="0"/>
    </w:pPr>
  </w:style>
  <w:style w:type="paragraph" w:customStyle="1" w:styleId="152">
    <w:name w:val="Char2"/>
    <w:basedOn w:val="1"/>
    <w:autoRedefine/>
    <w:qFormat/>
    <w:uiPriority w:val="0"/>
    <w:pPr>
      <w:ind w:firstLine="0" w:firstLineChars="0"/>
    </w:pPr>
  </w:style>
  <w:style w:type="paragraph" w:customStyle="1" w:styleId="153">
    <w:name w:val="Char Char Char Char Char Char Char Char Char Char Char Char Char Char Char Char Char Char1 Char Char Char Char"/>
    <w:basedOn w:val="1"/>
    <w:autoRedefine/>
    <w:qFormat/>
    <w:uiPriority w:val="0"/>
    <w:pPr>
      <w:ind w:firstLine="0" w:firstLineChars="0"/>
    </w:pPr>
  </w:style>
  <w:style w:type="character" w:customStyle="1" w:styleId="154">
    <w:name w:val="页脚 Char"/>
    <w:autoRedefine/>
    <w:qFormat/>
    <w:uiPriority w:val="0"/>
    <w:rPr>
      <w:rFonts w:eastAsia="宋体"/>
      <w:kern w:val="2"/>
      <w:sz w:val="18"/>
      <w:szCs w:val="18"/>
      <w:lang w:val="en-US" w:eastAsia="zh-CN" w:bidi="ar-SA"/>
    </w:rPr>
  </w:style>
  <w:style w:type="character" w:customStyle="1" w:styleId="155">
    <w:name w:val="文档结构图 字符"/>
    <w:basedOn w:val="58"/>
    <w:autoRedefine/>
    <w:semiHidden/>
    <w:qFormat/>
    <w:uiPriority w:val="99"/>
    <w:rPr>
      <w:rFonts w:ascii="Microsoft YaHei UI" w:hAnsi="Times New Roman" w:eastAsia="Microsoft YaHei UI" w:cs="Times New Roman"/>
      <w:sz w:val="18"/>
      <w:szCs w:val="18"/>
    </w:rPr>
  </w:style>
  <w:style w:type="character" w:customStyle="1" w:styleId="156">
    <w:name w:val="纯文本 Char1"/>
    <w:autoRedefine/>
    <w:qFormat/>
    <w:uiPriority w:val="0"/>
    <w:rPr>
      <w:rFonts w:ascii="宋体" w:hAnsi="Courier New" w:eastAsia="宋体" w:cs="Courier New"/>
      <w:kern w:val="2"/>
      <w:sz w:val="21"/>
      <w:szCs w:val="21"/>
      <w:lang w:val="en-US" w:eastAsia="zh-CN" w:bidi="ar-SA"/>
    </w:rPr>
  </w:style>
  <w:style w:type="paragraph" w:customStyle="1" w:styleId="157">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60">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161">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62">
    <w:name w:val="标题 1 字符1"/>
    <w:autoRedefine/>
    <w:qFormat/>
    <w:uiPriority w:val="0"/>
    <w:rPr>
      <w:rFonts w:ascii="Times New Roman" w:hAnsi="Times New Roman" w:eastAsia="宋体" w:cs="Times New Roman"/>
      <w:b/>
      <w:bCs/>
      <w:kern w:val="44"/>
      <w:sz w:val="44"/>
      <w:szCs w:val="44"/>
    </w:rPr>
  </w:style>
  <w:style w:type="character" w:customStyle="1" w:styleId="163">
    <w:name w:val="标题 2 字符1"/>
    <w:autoRedefine/>
    <w:qFormat/>
    <w:uiPriority w:val="0"/>
    <w:rPr>
      <w:rFonts w:ascii="宋体" w:hAnsi="宋体" w:eastAsia="黑体" w:cs="Times New Roman"/>
      <w:bCs/>
      <w:i/>
      <w:iCs/>
      <w:sz w:val="24"/>
      <w:szCs w:val="20"/>
    </w:rPr>
  </w:style>
  <w:style w:type="character" w:customStyle="1" w:styleId="164">
    <w:name w:val="标题 3 字符1"/>
    <w:autoRedefine/>
    <w:qFormat/>
    <w:uiPriority w:val="0"/>
    <w:rPr>
      <w:rFonts w:ascii="Times New Roman" w:hAnsi="Times New Roman" w:eastAsia="宋体" w:cs="Times New Roman"/>
      <w:b/>
      <w:kern w:val="0"/>
      <w:sz w:val="32"/>
      <w:szCs w:val="20"/>
    </w:rPr>
  </w:style>
  <w:style w:type="paragraph" w:customStyle="1" w:styleId="165">
    <w:name w:val="样式 标题 3 + (中文) 黑体 小四 非加粗 段前: 7.8 磅 段后: 0 磅 行距: 固定值 20 磅"/>
    <w:basedOn w:val="6"/>
    <w:autoRedefine/>
    <w:qFormat/>
    <w:uiPriority w:val="0"/>
    <w:pPr>
      <w:spacing w:line="400" w:lineRule="exact"/>
      <w:ind w:firstLine="0" w:firstLineChars="0"/>
    </w:pPr>
    <w:rPr>
      <w:rFonts w:ascii="Calibri" w:hAnsi="Calibri" w:eastAsia="黑体" w:cs="宋体"/>
      <w:b w:val="0"/>
      <w:bCs w:val="0"/>
      <w:szCs w:val="20"/>
    </w:rPr>
  </w:style>
  <w:style w:type="paragraph" w:customStyle="1" w:styleId="166">
    <w:name w:val="样式 标题 2 + Times New Roman 四号 非加粗 段前: 5 磅 段后: 0 磅 行距: 固定值 20..."/>
    <w:basedOn w:val="5"/>
    <w:autoRedefine/>
    <w:qFormat/>
    <w:uiPriority w:val="0"/>
    <w:pPr>
      <w:spacing w:before="100" w:after="0" w:line="400" w:lineRule="exact"/>
      <w:jc w:val="center"/>
    </w:pPr>
    <w:rPr>
      <w:rFonts w:ascii="Times New Roman" w:hAnsi="Times New Roman" w:eastAsia="宋体" w:cs="宋体"/>
      <w:bCs w:val="0"/>
      <w:kern w:val="0"/>
      <w:sz w:val="28"/>
      <w:szCs w:val="20"/>
    </w:rPr>
  </w:style>
  <w:style w:type="paragraph" w:customStyle="1" w:styleId="16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68">
    <w:name w:val="页眉 Char"/>
    <w:autoRedefine/>
    <w:qFormat/>
    <w:uiPriority w:val="99"/>
    <w:rPr>
      <w:kern w:val="2"/>
      <w:sz w:val="18"/>
      <w:szCs w:val="18"/>
    </w:rPr>
  </w:style>
  <w:style w:type="paragraph" w:customStyle="1" w:styleId="169">
    <w:name w:val="普通 (Web)"/>
    <w:basedOn w:val="1"/>
    <w:autoRedefine/>
    <w:qFormat/>
    <w:uiPriority w:val="0"/>
    <w:pPr>
      <w:widowControl/>
      <w:spacing w:before="100" w:beforeAutospacing="1" w:after="100" w:afterAutospacing="1"/>
      <w:ind w:firstLine="0" w:firstLineChars="0"/>
      <w:jc w:val="left"/>
    </w:pPr>
    <w:rPr>
      <w:rFonts w:ascii="宋体" w:hAnsi="宋体"/>
      <w:kern w:val="0"/>
      <w:sz w:val="24"/>
      <w:szCs w:val="22"/>
    </w:rPr>
  </w:style>
  <w:style w:type="character" w:customStyle="1" w:styleId="170">
    <w:name w:val="称呼 字符"/>
    <w:basedOn w:val="58"/>
    <w:autoRedefine/>
    <w:semiHidden/>
    <w:qFormat/>
    <w:uiPriority w:val="99"/>
    <w:rPr>
      <w:rFonts w:ascii="Times New Roman" w:hAnsi="Times New Roman" w:eastAsia="宋体" w:cs="Times New Roman"/>
      <w:szCs w:val="24"/>
    </w:rPr>
  </w:style>
  <w:style w:type="paragraph" w:customStyle="1" w:styleId="171">
    <w:name w:val="Blockquote"/>
    <w:basedOn w:val="1"/>
    <w:link w:val="172"/>
    <w:autoRedefine/>
    <w:qFormat/>
    <w:uiPriority w:val="0"/>
    <w:pPr>
      <w:autoSpaceDE w:val="0"/>
      <w:autoSpaceDN w:val="0"/>
      <w:adjustRightInd w:val="0"/>
      <w:spacing w:before="100" w:after="100"/>
      <w:ind w:left="360" w:right="360" w:firstLine="0" w:firstLineChars="0"/>
      <w:jc w:val="left"/>
    </w:pPr>
    <w:rPr>
      <w:kern w:val="0"/>
      <w:sz w:val="24"/>
      <w:szCs w:val="20"/>
    </w:rPr>
  </w:style>
  <w:style w:type="character" w:customStyle="1" w:styleId="172">
    <w:name w:val="Blockquote Char"/>
    <w:link w:val="171"/>
    <w:autoRedefine/>
    <w:qFormat/>
    <w:uiPriority w:val="0"/>
    <w:rPr>
      <w:rFonts w:ascii="Times New Roman" w:hAnsi="Times New Roman" w:eastAsia="宋体" w:cs="Times New Roman"/>
      <w:kern w:val="0"/>
      <w:sz w:val="24"/>
      <w:szCs w:val="20"/>
    </w:rPr>
  </w:style>
  <w:style w:type="paragraph" w:customStyle="1" w:styleId="17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4">
    <w:name w:val="xl22"/>
    <w:basedOn w:val="1"/>
    <w:autoRedefine/>
    <w:qFormat/>
    <w:uiPriority w:val="0"/>
    <w:pPr>
      <w:widowControl/>
      <w:pBdr>
        <w:bottom w:val="single" w:color="auto" w:sz="4" w:space="0"/>
        <w:right w:val="single" w:color="auto" w:sz="4" w:space="0"/>
      </w:pBdr>
      <w:spacing w:before="100" w:beforeAutospacing="1" w:after="100" w:afterAutospacing="1"/>
      <w:ind w:firstLine="0" w:firstLineChars="0"/>
      <w:jc w:val="center"/>
    </w:pPr>
    <w:rPr>
      <w:rFonts w:ascii="Calibri" w:hAnsi="Calibri"/>
      <w:kern w:val="0"/>
      <w:sz w:val="24"/>
      <w:szCs w:val="22"/>
    </w:rPr>
  </w:style>
  <w:style w:type="paragraph" w:customStyle="1" w:styleId="175">
    <w:name w:val="样式1"/>
    <w:basedOn w:val="1"/>
    <w:next w:val="7"/>
    <w:autoRedefine/>
    <w:qFormat/>
    <w:uiPriority w:val="0"/>
    <w:pPr>
      <w:spacing w:line="360" w:lineRule="auto"/>
      <w:ind w:firstLine="420"/>
    </w:pPr>
    <w:rPr>
      <w:rFonts w:ascii="宋体" w:hAnsi="宋体"/>
      <w:szCs w:val="21"/>
    </w:rPr>
  </w:style>
  <w:style w:type="character" w:customStyle="1" w:styleId="176">
    <w:name w:val="tdrownotice1"/>
    <w:autoRedefine/>
    <w:qFormat/>
    <w:uiPriority w:val="0"/>
    <w:rPr>
      <w:sz w:val="22"/>
    </w:rPr>
  </w:style>
  <w:style w:type="paragraph" w:customStyle="1" w:styleId="177">
    <w:name w:val="段落2"/>
    <w:basedOn w:val="1"/>
    <w:autoRedefine/>
    <w:qFormat/>
    <w:uiPriority w:val="0"/>
    <w:pPr>
      <w:spacing w:line="360" w:lineRule="auto"/>
      <w:ind w:firstLine="480"/>
    </w:pPr>
    <w:rPr>
      <w:rFonts w:ascii="Calibri" w:hAnsi="Calibri" w:cs="Courier New"/>
      <w:sz w:val="24"/>
      <w:szCs w:val="21"/>
    </w:rPr>
  </w:style>
  <w:style w:type="paragraph" w:customStyle="1" w:styleId="178">
    <w:name w:val="目录"/>
    <w:basedOn w:val="1"/>
    <w:autoRedefine/>
    <w:qFormat/>
    <w:uiPriority w:val="0"/>
    <w:pPr>
      <w:widowControl/>
      <w:ind w:firstLine="0" w:firstLineChars="0"/>
      <w:jc w:val="center"/>
    </w:pPr>
    <w:rPr>
      <w:rFonts w:ascii="宋体" w:hAnsi="Calibri"/>
      <w:b/>
      <w:kern w:val="0"/>
      <w:sz w:val="36"/>
      <w:szCs w:val="20"/>
    </w:rPr>
  </w:style>
  <w:style w:type="paragraph" w:customStyle="1" w:styleId="179">
    <w:name w:val="目录文字"/>
    <w:basedOn w:val="1"/>
    <w:autoRedefine/>
    <w:qFormat/>
    <w:uiPriority w:val="0"/>
    <w:pPr>
      <w:widowControl/>
      <w:spacing w:line="480" w:lineRule="auto"/>
      <w:ind w:firstLine="0" w:firstLineChars="0"/>
      <w:jc w:val="left"/>
    </w:pPr>
    <w:rPr>
      <w:rFonts w:ascii="宋体" w:hAnsi="宋体"/>
      <w:kern w:val="0"/>
      <w:sz w:val="24"/>
      <w:szCs w:val="20"/>
    </w:rPr>
  </w:style>
  <w:style w:type="paragraph" w:customStyle="1" w:styleId="18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0" w:firstLineChars="0"/>
      <w:jc w:val="left"/>
    </w:pPr>
    <w:rPr>
      <w:rFonts w:ascii="Courier New" w:hAnsi="Courier New"/>
      <w:kern w:val="0"/>
      <w:sz w:val="20"/>
      <w:szCs w:val="20"/>
    </w:rPr>
  </w:style>
  <w:style w:type="paragraph" w:customStyle="1" w:styleId="181">
    <w:name w:val="xl33"/>
    <w:basedOn w:val="1"/>
    <w:autoRedefine/>
    <w:qFormat/>
    <w:uiPriority w:val="0"/>
    <w:pPr>
      <w:widowControl/>
      <w:pBdr>
        <w:left w:val="single" w:color="auto" w:sz="4" w:space="0"/>
      </w:pBdr>
      <w:spacing w:before="100" w:beforeAutospacing="1" w:after="100" w:afterAutospacing="1"/>
      <w:ind w:firstLine="0" w:firstLineChars="0"/>
      <w:jc w:val="center"/>
      <w:textAlignment w:val="center"/>
    </w:pPr>
    <w:rPr>
      <w:rFonts w:ascii="Arial Unicode MS" w:hAnsi="Arial Unicode MS" w:eastAsia="Arial Unicode MS" w:cs="Arial Unicode MS"/>
      <w:kern w:val="0"/>
      <w:sz w:val="28"/>
      <w:szCs w:val="28"/>
    </w:rPr>
  </w:style>
  <w:style w:type="paragraph" w:customStyle="1" w:styleId="182">
    <w:name w:val="段落1 Char"/>
    <w:basedOn w:val="28"/>
    <w:autoRedefine/>
    <w:qFormat/>
    <w:uiPriority w:val="0"/>
    <w:pPr>
      <w:spacing w:line="360" w:lineRule="auto"/>
    </w:pPr>
    <w:rPr>
      <w:rFonts w:ascii="Times New Roman" w:hAnsi="Times New Roman" w:cs="Courier New"/>
      <w:sz w:val="24"/>
      <w:szCs w:val="21"/>
    </w:rPr>
  </w:style>
  <w:style w:type="paragraph" w:customStyle="1" w:styleId="183">
    <w:name w:val="样式3"/>
    <w:basedOn w:val="1"/>
    <w:autoRedefine/>
    <w:qFormat/>
    <w:uiPriority w:val="0"/>
    <w:pPr>
      <w:tabs>
        <w:tab w:val="left" w:pos="560"/>
        <w:tab w:val="left" w:pos="1120"/>
      </w:tabs>
      <w:spacing w:line="480" w:lineRule="atLeast"/>
      <w:ind w:firstLine="0" w:firstLineChars="0"/>
    </w:pPr>
    <w:rPr>
      <w:rFonts w:ascii="Calibri" w:hAnsi="Calibri" w:eastAsia="创艺简黑体"/>
      <w:b/>
      <w:sz w:val="28"/>
      <w:szCs w:val="20"/>
    </w:rPr>
  </w:style>
  <w:style w:type="paragraph" w:customStyle="1" w:styleId="184">
    <w:name w:val="简单回函地址"/>
    <w:basedOn w:val="1"/>
    <w:autoRedefine/>
    <w:qFormat/>
    <w:uiPriority w:val="0"/>
    <w:pPr>
      <w:ind w:firstLine="0" w:firstLineChars="0"/>
    </w:pPr>
    <w:rPr>
      <w:rFonts w:ascii="Calibri" w:hAnsi="Calibri"/>
      <w:szCs w:val="22"/>
    </w:rPr>
  </w:style>
  <w:style w:type="paragraph" w:customStyle="1" w:styleId="185">
    <w:name w:val="Char Char Char Char"/>
    <w:basedOn w:val="1"/>
    <w:autoRedefine/>
    <w:qFormat/>
    <w:uiPriority w:val="0"/>
    <w:pPr>
      <w:snapToGrid w:val="0"/>
      <w:spacing w:line="360" w:lineRule="auto"/>
    </w:pPr>
    <w:rPr>
      <w:rFonts w:ascii="Calibri" w:hAnsi="Calibri" w:eastAsia="仿宋_GB2312"/>
      <w:sz w:val="24"/>
      <w:szCs w:val="22"/>
    </w:rPr>
  </w:style>
  <w:style w:type="paragraph" w:customStyle="1" w:styleId="186">
    <w:name w:val="Default Paragraph Char Char Char Char"/>
    <w:basedOn w:val="1"/>
    <w:next w:val="1"/>
    <w:autoRedefine/>
    <w:qFormat/>
    <w:uiPriority w:val="0"/>
    <w:pPr>
      <w:widowControl/>
      <w:spacing w:line="360" w:lineRule="auto"/>
      <w:ind w:firstLine="0" w:firstLineChars="0"/>
      <w:jc w:val="left"/>
    </w:pPr>
    <w:rPr>
      <w:rFonts w:ascii="Calibri" w:hAnsi="Calibri"/>
      <w:kern w:val="0"/>
      <w:szCs w:val="20"/>
      <w:lang w:eastAsia="en-US"/>
    </w:rPr>
  </w:style>
  <w:style w:type="character" w:customStyle="1" w:styleId="187">
    <w:name w:val="t_tag"/>
    <w:autoRedefine/>
    <w:qFormat/>
    <w:uiPriority w:val="0"/>
  </w:style>
  <w:style w:type="character" w:customStyle="1" w:styleId="188">
    <w:name w:val="批注框文本 字符1"/>
    <w:autoRedefine/>
    <w:qFormat/>
    <w:uiPriority w:val="0"/>
    <w:rPr>
      <w:rFonts w:ascii="Times New Roman" w:hAnsi="Times New Roman" w:eastAsia="宋体" w:cs="Times New Roman"/>
      <w:sz w:val="18"/>
      <w:szCs w:val="18"/>
    </w:rPr>
  </w:style>
  <w:style w:type="character" w:customStyle="1" w:styleId="189">
    <w:name w:val="批注主题 字符1"/>
    <w:autoRedefine/>
    <w:qFormat/>
    <w:uiPriority w:val="0"/>
    <w:rPr>
      <w:rFonts w:ascii="Times New Roman" w:hAnsi="Times New Roman" w:eastAsia="宋体" w:cs="Times New Roman"/>
      <w:b/>
      <w:bCs/>
      <w:szCs w:val="24"/>
    </w:rPr>
  </w:style>
  <w:style w:type="paragraph" w:customStyle="1" w:styleId="190">
    <w:name w:val="Char10 Char Char Char Char Char Char Char Char Char"/>
    <w:basedOn w:val="1"/>
    <w:next w:val="1"/>
    <w:autoRedefine/>
    <w:qFormat/>
    <w:uiPriority w:val="0"/>
    <w:pPr>
      <w:ind w:firstLine="0" w:firstLineChars="0"/>
    </w:pPr>
    <w:rPr>
      <w:rFonts w:ascii="Calibri" w:hAnsi="Calibri"/>
      <w:szCs w:val="22"/>
    </w:rPr>
  </w:style>
  <w:style w:type="character" w:customStyle="1" w:styleId="191">
    <w:name w:val="普通文字1 Char"/>
    <w:autoRedefine/>
    <w:qFormat/>
    <w:uiPriority w:val="99"/>
    <w:rPr>
      <w:rFonts w:ascii="宋体" w:hAnsi="Courier New" w:eastAsia="宋体" w:cs="Courier New"/>
      <w:szCs w:val="21"/>
    </w:rPr>
  </w:style>
  <w:style w:type="character" w:customStyle="1" w:styleId="192">
    <w:name w:val="标题 1 Char1"/>
    <w:autoRedefine/>
    <w:qFormat/>
    <w:uiPriority w:val="0"/>
    <w:rPr>
      <w:rFonts w:ascii="Calibri" w:hAnsi="Calibri" w:eastAsia="宋体"/>
      <w:b/>
      <w:kern w:val="44"/>
      <w:sz w:val="44"/>
      <w:szCs w:val="44"/>
    </w:rPr>
  </w:style>
  <w:style w:type="character" w:customStyle="1" w:styleId="193">
    <w:name w:val="标题 3 Char1"/>
    <w:autoRedefine/>
    <w:qFormat/>
    <w:uiPriority w:val="0"/>
    <w:rPr>
      <w:rFonts w:ascii="Calibri" w:hAnsi="Calibri" w:eastAsia="宋体"/>
      <w:b/>
      <w:kern w:val="2"/>
      <w:sz w:val="32"/>
    </w:rPr>
  </w:style>
  <w:style w:type="character" w:customStyle="1" w:styleId="194">
    <w:name w:val="标题 4 Char1"/>
    <w:autoRedefine/>
    <w:semiHidden/>
    <w:qFormat/>
    <w:uiPriority w:val="0"/>
    <w:rPr>
      <w:rFonts w:ascii="Cambria" w:hAnsi="Cambria" w:eastAsia="宋体"/>
      <w:b/>
      <w:kern w:val="2"/>
      <w:sz w:val="28"/>
      <w:szCs w:val="28"/>
    </w:rPr>
  </w:style>
  <w:style w:type="character" w:customStyle="1" w:styleId="195">
    <w:name w:val="标题 5 Char1"/>
    <w:autoRedefine/>
    <w:semiHidden/>
    <w:qFormat/>
    <w:uiPriority w:val="0"/>
    <w:rPr>
      <w:rFonts w:ascii="Calibri" w:hAnsi="Calibri" w:eastAsia="宋体"/>
      <w:b/>
      <w:kern w:val="2"/>
      <w:sz w:val="28"/>
      <w:szCs w:val="28"/>
    </w:rPr>
  </w:style>
  <w:style w:type="character" w:customStyle="1" w:styleId="196">
    <w:name w:val="标题 6 Char1"/>
    <w:autoRedefine/>
    <w:semiHidden/>
    <w:qFormat/>
    <w:uiPriority w:val="0"/>
    <w:rPr>
      <w:rFonts w:ascii="Cambria" w:hAnsi="Cambria" w:eastAsia="宋体"/>
      <w:b/>
      <w:kern w:val="2"/>
      <w:sz w:val="24"/>
      <w:szCs w:val="24"/>
    </w:rPr>
  </w:style>
  <w:style w:type="character" w:customStyle="1" w:styleId="197">
    <w:name w:val="标题 7 Char1"/>
    <w:autoRedefine/>
    <w:semiHidden/>
    <w:qFormat/>
    <w:uiPriority w:val="0"/>
    <w:rPr>
      <w:rFonts w:ascii="Calibri" w:hAnsi="Calibri" w:eastAsia="宋体"/>
      <w:b/>
      <w:kern w:val="2"/>
      <w:sz w:val="24"/>
      <w:szCs w:val="24"/>
    </w:rPr>
  </w:style>
  <w:style w:type="character" w:customStyle="1" w:styleId="198">
    <w:name w:val="标题 8 Char1"/>
    <w:autoRedefine/>
    <w:semiHidden/>
    <w:qFormat/>
    <w:uiPriority w:val="0"/>
    <w:rPr>
      <w:rFonts w:ascii="Cambria" w:hAnsi="Cambria" w:eastAsia="宋体"/>
      <w:kern w:val="2"/>
      <w:sz w:val="24"/>
      <w:szCs w:val="24"/>
    </w:rPr>
  </w:style>
  <w:style w:type="character" w:customStyle="1" w:styleId="199">
    <w:name w:val="标题 9 Char1"/>
    <w:autoRedefine/>
    <w:semiHidden/>
    <w:qFormat/>
    <w:uiPriority w:val="0"/>
    <w:rPr>
      <w:rFonts w:ascii="Cambria" w:hAnsi="Cambria" w:eastAsia="宋体"/>
      <w:kern w:val="2"/>
      <w:sz w:val="21"/>
      <w:szCs w:val="21"/>
    </w:rPr>
  </w:style>
  <w:style w:type="paragraph" w:customStyle="1" w:styleId="200">
    <w:name w:val="Char Char Char Char Char Char1"/>
    <w:basedOn w:val="1"/>
    <w:autoRedefine/>
    <w:qFormat/>
    <w:uiPriority w:val="0"/>
    <w:pPr>
      <w:ind w:firstLine="0" w:firstLineChars="0"/>
    </w:pPr>
    <w:rPr>
      <w:rFonts w:ascii="Tahoma" w:hAnsi="Tahoma"/>
      <w:sz w:val="24"/>
      <w:szCs w:val="20"/>
    </w:rPr>
  </w:style>
  <w:style w:type="paragraph" w:customStyle="1" w:styleId="201">
    <w:name w:val="Char Char Char Char1"/>
    <w:basedOn w:val="1"/>
    <w:autoRedefine/>
    <w:qFormat/>
    <w:uiPriority w:val="0"/>
    <w:pPr>
      <w:snapToGrid w:val="0"/>
      <w:spacing w:line="360" w:lineRule="auto"/>
    </w:pPr>
    <w:rPr>
      <w:rFonts w:ascii="Calibri" w:hAnsi="Calibri" w:eastAsia="仿宋_GB2312"/>
      <w:sz w:val="24"/>
      <w:szCs w:val="22"/>
    </w:rPr>
  </w:style>
  <w:style w:type="paragraph" w:customStyle="1" w:styleId="202">
    <w:name w:val="Char10 Char Char Char Char Char Char Char Char Char1"/>
    <w:basedOn w:val="1"/>
    <w:next w:val="1"/>
    <w:autoRedefine/>
    <w:qFormat/>
    <w:uiPriority w:val="0"/>
    <w:pPr>
      <w:ind w:firstLine="0" w:firstLineChars="0"/>
    </w:pPr>
    <w:rPr>
      <w:rFonts w:ascii="Calibri" w:hAnsi="Calibri"/>
      <w:szCs w:val="22"/>
    </w:rPr>
  </w:style>
  <w:style w:type="character" w:customStyle="1" w:styleId="203">
    <w:name w:val="批注框文本 Char1"/>
    <w:autoRedefine/>
    <w:qFormat/>
    <w:uiPriority w:val="0"/>
    <w:rPr>
      <w:sz w:val="18"/>
      <w:szCs w:val="18"/>
    </w:rPr>
  </w:style>
  <w:style w:type="character" w:customStyle="1" w:styleId="204">
    <w:name w:val="批注文字 Char1"/>
    <w:autoRedefine/>
    <w:qFormat/>
    <w:uiPriority w:val="99"/>
  </w:style>
  <w:style w:type="character" w:customStyle="1" w:styleId="205">
    <w:name w:val="批注主题 Char1"/>
    <w:autoRedefine/>
    <w:qFormat/>
    <w:uiPriority w:val="0"/>
    <w:rPr>
      <w:b/>
    </w:rPr>
  </w:style>
  <w:style w:type="paragraph" w:customStyle="1" w:styleId="206">
    <w:name w:val="MsoNormal"/>
    <w:basedOn w:val="207"/>
    <w:autoRedefine/>
    <w:qFormat/>
    <w:uiPriority w:val="0"/>
    <w:rPr>
      <w:rFonts w:ascii="Calibri" w:hAnsi="Calibri" w:eastAsia="Calibri"/>
      <w:sz w:val="21"/>
    </w:rPr>
  </w:style>
  <w:style w:type="paragraph" w:customStyle="1" w:styleId="207">
    <w:name w:val="Normal_0"/>
    <w:autoRedefine/>
    <w:qFormat/>
    <w:uiPriority w:val="0"/>
    <w:rPr>
      <w:rFonts w:ascii="Times New Roman" w:hAnsi="Times New Roman" w:eastAsia="宋体" w:cs="Times New Roman"/>
      <w:sz w:val="24"/>
      <w:szCs w:val="24"/>
      <w:lang w:val="en-US" w:eastAsia="zh-CN" w:bidi="ar-SA"/>
    </w:rPr>
  </w:style>
  <w:style w:type="paragraph" w:customStyle="1" w:styleId="208">
    <w:name w:val="标题 2_0"/>
    <w:basedOn w:val="209"/>
    <w:next w:val="210"/>
    <w:link w:val="211"/>
    <w:autoRedefine/>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20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标题 2 Char_0"/>
    <w:link w:val="208"/>
    <w:autoRedefine/>
    <w:qFormat/>
    <w:uiPriority w:val="0"/>
    <w:rPr>
      <w:rFonts w:ascii="黑体" w:hAnsi="宋体" w:eastAsia="黑体" w:cs="Times New Roman"/>
      <w:b/>
      <w:smallCaps/>
      <w:snapToGrid w:val="0"/>
      <w:kern w:val="0"/>
      <w:sz w:val="36"/>
      <w:szCs w:val="24"/>
    </w:rPr>
  </w:style>
  <w:style w:type="paragraph" w:customStyle="1" w:styleId="212">
    <w:name w:val="纯文本_0"/>
    <w:basedOn w:val="210"/>
    <w:link w:val="213"/>
    <w:autoRedefine/>
    <w:qFormat/>
    <w:uiPriority w:val="99"/>
    <w:rPr>
      <w:rFonts w:ascii="宋体" w:hAnsi="Courier New"/>
      <w:kern w:val="0"/>
      <w:sz w:val="20"/>
      <w:szCs w:val="21"/>
    </w:rPr>
  </w:style>
  <w:style w:type="character" w:customStyle="1" w:styleId="213">
    <w:name w:val="Texte Char1"/>
    <w:link w:val="212"/>
    <w:autoRedefine/>
    <w:qFormat/>
    <w:uiPriority w:val="99"/>
    <w:rPr>
      <w:rFonts w:ascii="宋体" w:hAnsi="Courier New" w:eastAsia="宋体" w:cs="Times New Roman"/>
      <w:szCs w:val="21"/>
    </w:rPr>
  </w:style>
  <w:style w:type="paragraph" w:customStyle="1" w:styleId="214">
    <w:name w:val="纯文本_1"/>
    <w:basedOn w:val="215"/>
    <w:link w:val="216"/>
    <w:autoRedefine/>
    <w:qFormat/>
    <w:uiPriority w:val="0"/>
    <w:rPr>
      <w:rFonts w:ascii="宋体" w:hAnsi="Courier New"/>
      <w:kern w:val="0"/>
      <w:sz w:val="20"/>
      <w:szCs w:val="21"/>
    </w:rPr>
  </w:style>
  <w:style w:type="paragraph" w:customStyle="1" w:styleId="21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6">
    <w:name w:val="纯文本 Char1_0"/>
    <w:link w:val="214"/>
    <w:autoRedefine/>
    <w:qFormat/>
    <w:uiPriority w:val="0"/>
    <w:rPr>
      <w:rFonts w:ascii="宋体" w:hAnsi="Courier New" w:eastAsia="宋体" w:cs="Times New Roman"/>
      <w:szCs w:val="21"/>
    </w:rPr>
  </w:style>
  <w:style w:type="paragraph" w:customStyle="1" w:styleId="217">
    <w:name w:val="标题 3_0"/>
    <w:basedOn w:val="218"/>
    <w:next w:val="219"/>
    <w:link w:val="220"/>
    <w:autoRedefine/>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customStyle="1" w:styleId="21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正文缩进_0"/>
    <w:basedOn w:val="218"/>
    <w:autoRedefine/>
    <w:unhideWhenUsed/>
    <w:qFormat/>
    <w:uiPriority w:val="0"/>
    <w:pPr>
      <w:ind w:firstLine="420" w:firstLineChars="200"/>
    </w:pPr>
    <w:rPr>
      <w:rFonts w:ascii="Calibri" w:hAnsi="Calibri"/>
      <w:bCs/>
      <w:szCs w:val="32"/>
    </w:rPr>
  </w:style>
  <w:style w:type="character" w:customStyle="1" w:styleId="220">
    <w:name w:val="标题 3 Char_0"/>
    <w:link w:val="217"/>
    <w:autoRedefine/>
    <w:qFormat/>
    <w:uiPriority w:val="0"/>
    <w:rPr>
      <w:b/>
      <w:sz w:val="32"/>
    </w:rPr>
  </w:style>
  <w:style w:type="paragraph" w:customStyle="1" w:styleId="221">
    <w:name w:val="标题 1_0"/>
    <w:basedOn w:val="218"/>
    <w:next w:val="218"/>
    <w:link w:val="222"/>
    <w:autoRedefine/>
    <w:qFormat/>
    <w:uiPriority w:val="0"/>
    <w:pPr>
      <w:keepNext/>
      <w:widowControl/>
      <w:tabs>
        <w:tab w:val="left" w:pos="432"/>
      </w:tabs>
      <w:ind w:left="432" w:hanging="432"/>
      <w:jc w:val="center"/>
      <w:outlineLvl w:val="0"/>
    </w:pPr>
    <w:rPr>
      <w:rFonts w:ascii="黑体" w:eastAsia="黑体"/>
      <w:kern w:val="0"/>
      <w:sz w:val="52"/>
      <w:szCs w:val="20"/>
    </w:rPr>
  </w:style>
  <w:style w:type="character" w:customStyle="1" w:styleId="222">
    <w:name w:val="标题 1 Char_0"/>
    <w:link w:val="221"/>
    <w:autoRedefine/>
    <w:qFormat/>
    <w:uiPriority w:val="0"/>
    <w:rPr>
      <w:rFonts w:ascii="黑体" w:eastAsia="黑体"/>
      <w:sz w:val="52"/>
    </w:rPr>
  </w:style>
  <w:style w:type="paragraph" w:customStyle="1" w:styleId="223">
    <w:name w:val="标题 6_0"/>
    <w:basedOn w:val="218"/>
    <w:next w:val="218"/>
    <w:link w:val="224"/>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character" w:customStyle="1" w:styleId="224">
    <w:name w:val="标题 6 Char_0"/>
    <w:link w:val="223"/>
    <w:autoRedefine/>
    <w:qFormat/>
    <w:uiPriority w:val="0"/>
    <w:rPr>
      <w:rFonts w:ascii="Arial" w:hAnsi="Arial" w:eastAsia="黑体"/>
      <w:b/>
      <w:bCs/>
      <w:sz w:val="24"/>
      <w:szCs w:val="24"/>
    </w:rPr>
  </w:style>
  <w:style w:type="paragraph" w:customStyle="1" w:styleId="225">
    <w:name w:val="标题 7_0"/>
    <w:basedOn w:val="218"/>
    <w:next w:val="218"/>
    <w:link w:val="226"/>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character" w:customStyle="1" w:styleId="226">
    <w:name w:val="标题 7 Char_0"/>
    <w:link w:val="225"/>
    <w:autoRedefine/>
    <w:qFormat/>
    <w:uiPriority w:val="0"/>
    <w:rPr>
      <w:b/>
      <w:bCs/>
      <w:sz w:val="24"/>
      <w:szCs w:val="24"/>
    </w:rPr>
  </w:style>
  <w:style w:type="paragraph" w:customStyle="1" w:styleId="227">
    <w:name w:val="标题 8_0"/>
    <w:basedOn w:val="218"/>
    <w:next w:val="218"/>
    <w:link w:val="228"/>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character" w:customStyle="1" w:styleId="228">
    <w:name w:val="标题 8 Char_0"/>
    <w:link w:val="227"/>
    <w:autoRedefine/>
    <w:qFormat/>
    <w:uiPriority w:val="0"/>
    <w:rPr>
      <w:rFonts w:ascii="Arial" w:hAnsi="Arial" w:eastAsia="黑体"/>
      <w:sz w:val="24"/>
      <w:szCs w:val="24"/>
    </w:rPr>
  </w:style>
  <w:style w:type="paragraph" w:customStyle="1" w:styleId="229">
    <w:name w:val="标题 9_0"/>
    <w:basedOn w:val="218"/>
    <w:next w:val="218"/>
    <w:link w:val="23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customStyle="1" w:styleId="230">
    <w:name w:val="标题 9 Char_0"/>
    <w:link w:val="229"/>
    <w:autoRedefine/>
    <w:qFormat/>
    <w:uiPriority w:val="0"/>
    <w:rPr>
      <w:rFonts w:ascii="Arial" w:hAnsi="Arial" w:eastAsia="黑体"/>
      <w:szCs w:val="21"/>
    </w:rPr>
  </w:style>
  <w:style w:type="paragraph" w:customStyle="1" w:styleId="231">
    <w:name w:val="Blockquote_0"/>
    <w:basedOn w:val="218"/>
    <w:link w:val="232"/>
    <w:autoRedefine/>
    <w:qFormat/>
    <w:uiPriority w:val="0"/>
    <w:pPr>
      <w:autoSpaceDE w:val="0"/>
      <w:autoSpaceDN w:val="0"/>
      <w:adjustRightInd w:val="0"/>
      <w:spacing w:before="100" w:after="100"/>
      <w:ind w:left="360" w:right="360"/>
      <w:jc w:val="left"/>
    </w:pPr>
    <w:rPr>
      <w:kern w:val="0"/>
      <w:sz w:val="24"/>
      <w:szCs w:val="20"/>
    </w:rPr>
  </w:style>
  <w:style w:type="character" w:customStyle="1" w:styleId="232">
    <w:name w:val="Blockquote Char_0"/>
    <w:link w:val="231"/>
    <w:autoRedefine/>
    <w:qFormat/>
    <w:locked/>
    <w:uiPriority w:val="0"/>
    <w:rPr>
      <w:rFonts w:ascii="Times New Roman" w:hAnsi="Times New Roman" w:eastAsia="宋体" w:cs="Times New Roman"/>
      <w:kern w:val="0"/>
      <w:sz w:val="24"/>
      <w:szCs w:val="20"/>
    </w:rPr>
  </w:style>
  <w:style w:type="paragraph" w:customStyle="1" w:styleId="233">
    <w:name w:val="标题 4_0"/>
    <w:basedOn w:val="218"/>
    <w:next w:val="218"/>
    <w:link w:val="234"/>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234">
    <w:name w:val="标题 4 Char_0"/>
    <w:link w:val="233"/>
    <w:autoRedefine/>
    <w:qFormat/>
    <w:uiPriority w:val="0"/>
    <w:rPr>
      <w:rFonts w:ascii="Arial" w:hAnsi="Arial" w:eastAsia="黑体" w:cs="Times New Roman"/>
      <w:kern w:val="0"/>
      <w:sz w:val="28"/>
      <w:szCs w:val="20"/>
    </w:rPr>
  </w:style>
  <w:style w:type="paragraph" w:customStyle="1" w:styleId="235">
    <w:name w:val="纯文本_2"/>
    <w:basedOn w:val="218"/>
    <w:link w:val="236"/>
    <w:autoRedefine/>
    <w:qFormat/>
    <w:uiPriority w:val="0"/>
    <w:rPr>
      <w:rFonts w:ascii="宋体" w:hAnsi="Courier New"/>
      <w:kern w:val="0"/>
      <w:sz w:val="20"/>
      <w:szCs w:val="21"/>
    </w:rPr>
  </w:style>
  <w:style w:type="character" w:customStyle="1" w:styleId="236">
    <w:name w:val="纯文本 Char1_1"/>
    <w:link w:val="235"/>
    <w:autoRedefine/>
    <w:qFormat/>
    <w:uiPriority w:val="0"/>
    <w:rPr>
      <w:rFonts w:ascii="宋体" w:hAnsi="Courier New" w:eastAsia="宋体" w:cs="Times New Roman"/>
      <w:szCs w:val="21"/>
    </w:rPr>
  </w:style>
  <w:style w:type="paragraph" w:customStyle="1" w:styleId="237">
    <w:name w:val="Blockquote_0_1"/>
    <w:basedOn w:val="238"/>
    <w:link w:val="239"/>
    <w:autoRedefine/>
    <w:qFormat/>
    <w:uiPriority w:val="0"/>
    <w:pPr>
      <w:autoSpaceDE w:val="0"/>
      <w:autoSpaceDN w:val="0"/>
      <w:adjustRightInd w:val="0"/>
      <w:spacing w:before="100" w:after="100"/>
      <w:ind w:left="360" w:right="360"/>
      <w:jc w:val="left"/>
    </w:pPr>
    <w:rPr>
      <w:kern w:val="0"/>
      <w:sz w:val="24"/>
      <w:szCs w:val="20"/>
    </w:rPr>
  </w:style>
  <w:style w:type="paragraph" w:customStyle="1" w:styleId="238">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9">
    <w:name w:val="Blockquote Char_0_1"/>
    <w:link w:val="237"/>
    <w:autoRedefine/>
    <w:qFormat/>
    <w:locked/>
    <w:uiPriority w:val="0"/>
    <w:rPr>
      <w:rFonts w:ascii="Times New Roman" w:hAnsi="Times New Roman" w:eastAsia="宋体" w:cs="Times New Roman"/>
      <w:kern w:val="0"/>
      <w:sz w:val="24"/>
      <w:szCs w:val="20"/>
    </w:rPr>
  </w:style>
  <w:style w:type="paragraph" w:customStyle="1" w:styleId="240">
    <w:name w:val="正文文本_0"/>
    <w:basedOn w:val="218"/>
    <w:link w:val="241"/>
    <w:autoRedefine/>
    <w:qFormat/>
    <w:uiPriority w:val="0"/>
    <w:pPr>
      <w:spacing w:after="120"/>
    </w:pPr>
    <w:rPr>
      <w:kern w:val="0"/>
      <w:sz w:val="20"/>
    </w:rPr>
  </w:style>
  <w:style w:type="character" w:customStyle="1" w:styleId="241">
    <w:name w:val="正文文本 Char_0"/>
    <w:link w:val="240"/>
    <w:autoRedefine/>
    <w:qFormat/>
    <w:uiPriority w:val="0"/>
    <w:rPr>
      <w:rFonts w:ascii="Times New Roman" w:hAnsi="Times New Roman" w:eastAsia="宋体" w:cs="Times New Roman"/>
      <w:szCs w:val="24"/>
    </w:rPr>
  </w:style>
  <w:style w:type="paragraph" w:customStyle="1" w:styleId="242">
    <w:name w:val="普通(网站)_0"/>
    <w:basedOn w:val="218"/>
    <w:autoRedefine/>
    <w:qFormat/>
    <w:uiPriority w:val="0"/>
    <w:pPr>
      <w:widowControl/>
      <w:spacing w:before="100" w:beforeAutospacing="1" w:after="100" w:afterAutospacing="1"/>
      <w:jc w:val="left"/>
    </w:pPr>
    <w:rPr>
      <w:rFonts w:ascii="宋体" w:hAnsi="宋体"/>
      <w:kern w:val="0"/>
      <w:sz w:val="24"/>
    </w:rPr>
  </w:style>
  <w:style w:type="paragraph" w:customStyle="1" w:styleId="2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5">
    <w:name w:val="脚注文本_0"/>
    <w:basedOn w:val="119"/>
    <w:link w:val="246"/>
    <w:autoRedefine/>
    <w:unhideWhenUsed/>
    <w:qFormat/>
    <w:uiPriority w:val="0"/>
    <w:pPr>
      <w:adjustRightInd w:val="0"/>
      <w:snapToGrid w:val="0"/>
      <w:spacing w:line="420" w:lineRule="atLeast"/>
      <w:ind w:firstLine="454"/>
      <w:jc w:val="left"/>
    </w:pPr>
    <w:rPr>
      <w:rFonts w:ascii="Times New Roman" w:hAnsi="Times New Roman"/>
      <w:kern w:val="0"/>
      <w:sz w:val="18"/>
      <w:szCs w:val="20"/>
    </w:rPr>
  </w:style>
  <w:style w:type="character" w:customStyle="1" w:styleId="246">
    <w:name w:val="脚注文本 Char_0"/>
    <w:link w:val="245"/>
    <w:autoRedefine/>
    <w:qFormat/>
    <w:uiPriority w:val="0"/>
    <w:rPr>
      <w:rFonts w:ascii="Times New Roman" w:hAnsi="Times New Roman" w:eastAsia="宋体" w:cs="Times New Roman"/>
      <w:kern w:val="0"/>
      <w:sz w:val="18"/>
      <w:szCs w:val="20"/>
    </w:rPr>
  </w:style>
  <w:style w:type="paragraph" w:customStyle="1" w:styleId="247">
    <w:name w:val="font5"/>
    <w:basedOn w:val="1"/>
    <w:autoRedefine/>
    <w:qFormat/>
    <w:uiPriority w:val="0"/>
    <w:pPr>
      <w:widowControl/>
      <w:spacing w:before="100" w:beforeAutospacing="1" w:after="100" w:afterAutospacing="1"/>
      <w:ind w:firstLine="0" w:firstLineChars="0"/>
      <w:jc w:val="left"/>
    </w:pPr>
    <w:rPr>
      <w:rFonts w:hint="eastAsia" w:ascii="宋体" w:hAnsi="宋体"/>
      <w:kern w:val="0"/>
      <w:sz w:val="18"/>
      <w:szCs w:val="18"/>
    </w:rPr>
  </w:style>
  <w:style w:type="paragraph" w:customStyle="1" w:styleId="24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kern w:val="0"/>
      <w:sz w:val="18"/>
      <w:szCs w:val="18"/>
    </w:rPr>
  </w:style>
  <w:style w:type="paragraph" w:customStyle="1" w:styleId="24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kern w:val="0"/>
      <w:sz w:val="18"/>
      <w:szCs w:val="18"/>
    </w:rPr>
  </w:style>
  <w:style w:type="paragraph" w:customStyle="1" w:styleId="25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textAlignment w:val="center"/>
    </w:pPr>
    <w:rPr>
      <w:rFonts w:ascii="宋体" w:hAnsi="宋体"/>
      <w:kern w:val="0"/>
      <w:sz w:val="24"/>
    </w:rPr>
  </w:style>
  <w:style w:type="paragraph" w:customStyle="1" w:styleId="25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textAlignment w:val="center"/>
    </w:pPr>
    <w:rPr>
      <w:rFonts w:ascii="宋体" w:hAnsi="宋体"/>
      <w:kern w:val="0"/>
      <w:sz w:val="18"/>
      <w:szCs w:val="18"/>
    </w:rPr>
  </w:style>
  <w:style w:type="paragraph" w:customStyle="1" w:styleId="25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kern w:val="0"/>
      <w:sz w:val="24"/>
    </w:rPr>
  </w:style>
  <w:style w:type="paragraph" w:customStyle="1" w:styleId="253">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left"/>
    </w:pPr>
    <w:rPr>
      <w:rFonts w:ascii="宋体" w:hAnsi="宋体"/>
      <w:kern w:val="0"/>
      <w:sz w:val="24"/>
    </w:rPr>
  </w:style>
  <w:style w:type="paragraph" w:customStyle="1" w:styleId="25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kern w:val="0"/>
      <w:sz w:val="24"/>
    </w:rPr>
  </w:style>
  <w:style w:type="paragraph" w:customStyle="1" w:styleId="25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kern w:val="0"/>
      <w:sz w:val="24"/>
    </w:rPr>
  </w:style>
  <w:style w:type="paragraph" w:customStyle="1" w:styleId="25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kern w:val="0"/>
      <w:sz w:val="18"/>
      <w:szCs w:val="18"/>
    </w:rPr>
  </w:style>
  <w:style w:type="paragraph" w:customStyle="1" w:styleId="25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18"/>
      <w:szCs w:val="1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kern w:val="0"/>
      <w:sz w:val="18"/>
      <w:szCs w:val="18"/>
    </w:rPr>
  </w:style>
  <w:style w:type="paragraph" w:customStyle="1" w:styleId="25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kern w:val="0"/>
      <w:sz w:val="22"/>
      <w:szCs w:val="22"/>
    </w:rPr>
  </w:style>
  <w:style w:type="paragraph" w:customStyle="1" w:styleId="26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4"/>
    </w:rPr>
  </w:style>
  <w:style w:type="paragraph" w:customStyle="1" w:styleId="26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textAlignment w:val="center"/>
    </w:pPr>
    <w:rPr>
      <w:rFonts w:ascii="宋体" w:hAnsi="宋体"/>
      <w:kern w:val="0"/>
      <w:sz w:val="24"/>
    </w:rPr>
  </w:style>
  <w:style w:type="paragraph" w:customStyle="1" w:styleId="26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kern w:val="0"/>
      <w:sz w:val="24"/>
    </w:rPr>
  </w:style>
  <w:style w:type="paragraph" w:customStyle="1" w:styleId="26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kern w:val="0"/>
      <w:sz w:val="24"/>
    </w:rPr>
  </w:style>
  <w:style w:type="paragraph" w:customStyle="1" w:styleId="26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kern w:val="0"/>
      <w:sz w:val="24"/>
    </w:rPr>
  </w:style>
  <w:style w:type="paragraph" w:customStyle="1" w:styleId="265">
    <w:name w:val="xl42"/>
    <w:basedOn w:val="1"/>
    <w:autoRedefine/>
    <w:qFormat/>
    <w:uiPriority w:val="0"/>
    <w:pPr>
      <w:widowControl/>
      <w:spacing w:before="100" w:beforeAutospacing="1" w:after="100" w:afterAutospacing="1"/>
      <w:ind w:firstLine="0" w:firstLineChars="0"/>
      <w:jc w:val="center"/>
      <w:textAlignment w:val="center"/>
    </w:pPr>
    <w:rPr>
      <w:rFonts w:ascii="宋体" w:hAnsi="宋体"/>
      <w:b/>
      <w:bCs/>
      <w:kern w:val="0"/>
      <w:sz w:val="32"/>
      <w:szCs w:val="32"/>
    </w:rPr>
  </w:style>
  <w:style w:type="paragraph" w:customStyle="1" w:styleId="266">
    <w:name w:val="xl43"/>
    <w:basedOn w:val="1"/>
    <w:autoRedefine/>
    <w:qFormat/>
    <w:uiPriority w:val="0"/>
    <w:pPr>
      <w:widowControl/>
      <w:spacing w:before="100" w:beforeAutospacing="1" w:after="100" w:afterAutospacing="1"/>
      <w:ind w:firstLine="0" w:firstLineChars="0"/>
      <w:jc w:val="left"/>
      <w:textAlignment w:val="top"/>
    </w:pPr>
    <w:rPr>
      <w:rFonts w:ascii="宋体" w:hAnsi="宋体"/>
      <w:kern w:val="0"/>
      <w:sz w:val="24"/>
    </w:rPr>
  </w:style>
  <w:style w:type="paragraph" w:customStyle="1" w:styleId="267">
    <w:name w:val="xl44"/>
    <w:basedOn w:val="1"/>
    <w:autoRedefine/>
    <w:qFormat/>
    <w:uiPriority w:val="0"/>
    <w:pPr>
      <w:widowControl/>
      <w:spacing w:before="100" w:beforeAutospacing="1" w:after="100" w:afterAutospacing="1"/>
      <w:ind w:firstLine="0" w:firstLineChars="0"/>
      <w:jc w:val="center"/>
      <w:textAlignment w:val="center"/>
    </w:pPr>
    <w:rPr>
      <w:rFonts w:ascii="宋体" w:hAnsi="宋体"/>
      <w:b/>
      <w:bCs/>
      <w:kern w:val="0"/>
      <w:sz w:val="32"/>
      <w:szCs w:val="32"/>
    </w:rPr>
  </w:style>
  <w:style w:type="paragraph" w:customStyle="1" w:styleId="268">
    <w:name w:val="xl45"/>
    <w:basedOn w:val="1"/>
    <w:autoRedefine/>
    <w:qFormat/>
    <w:uiPriority w:val="0"/>
    <w:pPr>
      <w:widowControl/>
      <w:spacing w:before="100" w:beforeAutospacing="1" w:after="100" w:afterAutospacing="1"/>
      <w:ind w:firstLine="0" w:firstLineChars="0"/>
      <w:jc w:val="left"/>
      <w:textAlignment w:val="top"/>
    </w:pPr>
    <w:rPr>
      <w:rFonts w:ascii="宋体" w:hAnsi="宋体"/>
      <w:kern w:val="0"/>
      <w:sz w:val="24"/>
    </w:rPr>
  </w:style>
  <w:style w:type="paragraph" w:customStyle="1" w:styleId="269">
    <w:name w:val="font6"/>
    <w:basedOn w:val="1"/>
    <w:autoRedefine/>
    <w:qFormat/>
    <w:uiPriority w:val="0"/>
    <w:pPr>
      <w:widowControl/>
      <w:spacing w:before="100" w:beforeAutospacing="1" w:after="100" w:afterAutospacing="1"/>
      <w:ind w:firstLine="0" w:firstLineChars="0"/>
      <w:jc w:val="left"/>
    </w:pPr>
    <w:rPr>
      <w:kern w:val="0"/>
      <w:sz w:val="18"/>
      <w:szCs w:val="18"/>
    </w:rPr>
  </w:style>
  <w:style w:type="paragraph" w:customStyle="1" w:styleId="270">
    <w:name w:val="Char Char Char Char Char"/>
    <w:basedOn w:val="1"/>
    <w:autoRedefine/>
    <w:qFormat/>
    <w:uiPriority w:val="0"/>
    <w:pPr>
      <w:ind w:firstLine="0" w:firstLineChars="0"/>
    </w:pPr>
    <w:rPr>
      <w:rFonts w:ascii="Tahoma" w:hAnsi="Tahoma"/>
      <w:sz w:val="24"/>
      <w:szCs w:val="20"/>
    </w:rPr>
  </w:style>
  <w:style w:type="paragraph" w:customStyle="1" w:styleId="271">
    <w:name w:val="范本目录"/>
    <w:basedOn w:val="1"/>
    <w:autoRedefine/>
    <w:qFormat/>
    <w:uiPriority w:val="0"/>
    <w:pPr>
      <w:adjustRightInd w:val="0"/>
      <w:snapToGrid w:val="0"/>
      <w:spacing w:beforeLines="20" w:afterLines="20" w:line="540" w:lineRule="exact"/>
      <w:ind w:firstLine="0" w:firstLineChars="0"/>
      <w:jc w:val="center"/>
    </w:pPr>
    <w:rPr>
      <w:rFonts w:hAnsi="宋体"/>
      <w:b/>
      <w:bCs/>
      <w:sz w:val="36"/>
    </w:rPr>
  </w:style>
  <w:style w:type="character" w:customStyle="1" w:styleId="272">
    <w:name w:val="副标题 字符"/>
    <w:basedOn w:val="58"/>
    <w:autoRedefine/>
    <w:qFormat/>
    <w:uiPriority w:val="11"/>
    <w:rPr>
      <w:b/>
      <w:bCs/>
      <w:kern w:val="28"/>
      <w:sz w:val="32"/>
      <w:szCs w:val="32"/>
    </w:rPr>
  </w:style>
  <w:style w:type="character" w:customStyle="1" w:styleId="273">
    <w:name w:val="Char Char"/>
    <w:autoRedefine/>
    <w:qFormat/>
    <w:uiPriority w:val="0"/>
    <w:rPr>
      <w:rFonts w:ascii="宋体" w:hAnsi="Courier New" w:eastAsia="宋体" w:cs="Courier New"/>
      <w:kern w:val="2"/>
      <w:sz w:val="21"/>
      <w:szCs w:val="21"/>
      <w:lang w:val="en-US" w:eastAsia="zh-CN" w:bidi="ar-SA"/>
    </w:rPr>
  </w:style>
  <w:style w:type="character" w:customStyle="1" w:styleId="274">
    <w:name w:val="标题4 Char Char"/>
    <w:link w:val="275"/>
    <w:autoRedefine/>
    <w:qFormat/>
    <w:uiPriority w:val="0"/>
    <w:rPr>
      <w:rFonts w:ascii="Arial" w:hAnsi="Arial"/>
      <w:b/>
      <w:bCs/>
      <w:sz w:val="24"/>
      <w:szCs w:val="32"/>
    </w:rPr>
  </w:style>
  <w:style w:type="paragraph" w:customStyle="1" w:styleId="275">
    <w:name w:val="标题4"/>
    <w:basedOn w:val="5"/>
    <w:next w:val="25"/>
    <w:link w:val="274"/>
    <w:autoRedefine/>
    <w:qFormat/>
    <w:uiPriority w:val="0"/>
    <w:pPr>
      <w:spacing w:before="0" w:after="0" w:line="413" w:lineRule="auto"/>
    </w:pPr>
    <w:rPr>
      <w:rFonts w:ascii="Arial" w:hAnsi="Arial" w:eastAsia="宋体"/>
      <w:b/>
      <w:kern w:val="0"/>
    </w:rPr>
  </w:style>
  <w:style w:type="character" w:customStyle="1" w:styleId="276">
    <w:name w:val="明显引用 Char2"/>
    <w:link w:val="277"/>
    <w:autoRedefine/>
    <w:qFormat/>
    <w:uiPriority w:val="0"/>
    <w:rPr>
      <w:b/>
      <w:bCs/>
      <w:i/>
      <w:iCs/>
      <w:color w:val="4F81BD"/>
    </w:rPr>
  </w:style>
  <w:style w:type="paragraph" w:styleId="277">
    <w:name w:val="Intense Quote"/>
    <w:basedOn w:val="1"/>
    <w:next w:val="1"/>
    <w:link w:val="276"/>
    <w:autoRedefine/>
    <w:qFormat/>
    <w:uiPriority w:val="0"/>
    <w:pPr>
      <w:pBdr>
        <w:bottom w:val="single" w:color="4F81BD" w:sz="4" w:space="4"/>
      </w:pBdr>
      <w:spacing w:before="200" w:after="280"/>
      <w:ind w:left="936" w:right="936" w:firstLine="0" w:firstLineChars="0"/>
    </w:pPr>
    <w:rPr>
      <w:b/>
      <w:bCs/>
      <w:i/>
      <w:iCs/>
      <w:color w:val="4F81BD"/>
      <w:kern w:val="0"/>
      <w:sz w:val="20"/>
      <w:szCs w:val="20"/>
    </w:rPr>
  </w:style>
  <w:style w:type="character" w:customStyle="1" w:styleId="278">
    <w:name w:val="明显引用 字符"/>
    <w:basedOn w:val="58"/>
    <w:autoRedefine/>
    <w:qFormat/>
    <w:uiPriority w:val="30"/>
    <w:rPr>
      <w:rFonts w:ascii="Times New Roman" w:hAnsi="Times New Roman" w:eastAsia="宋体" w:cs="Times New Roman"/>
      <w:i/>
      <w:iCs/>
      <w:color w:val="4472C4"/>
      <w:szCs w:val="24"/>
    </w:rPr>
  </w:style>
  <w:style w:type="character" w:customStyle="1" w:styleId="279">
    <w:name w:val="明显引用 Char1"/>
    <w:autoRedefine/>
    <w:qFormat/>
    <w:uiPriority w:val="30"/>
    <w:rPr>
      <w:b/>
      <w:bCs/>
      <w:i/>
      <w:iCs/>
      <w:color w:val="4F81BD"/>
      <w:kern w:val="2"/>
      <w:sz w:val="21"/>
      <w:szCs w:val="24"/>
    </w:rPr>
  </w:style>
  <w:style w:type="character" w:customStyle="1" w:styleId="280">
    <w:name w:val="标题5 Char Char"/>
    <w:link w:val="281"/>
    <w:autoRedefine/>
    <w:qFormat/>
    <w:uiPriority w:val="0"/>
    <w:rPr>
      <w:rFonts w:ascii="Arial" w:hAnsi="Arial"/>
      <w:b/>
      <w:bCs/>
      <w:sz w:val="24"/>
      <w:szCs w:val="32"/>
    </w:rPr>
  </w:style>
  <w:style w:type="paragraph" w:customStyle="1" w:styleId="281">
    <w:name w:val="标题5"/>
    <w:basedOn w:val="6"/>
    <w:link w:val="280"/>
    <w:autoRedefine/>
    <w:qFormat/>
    <w:uiPriority w:val="0"/>
    <w:pPr>
      <w:spacing w:line="413" w:lineRule="auto"/>
      <w:ind w:firstLine="0" w:firstLineChars="0"/>
    </w:pPr>
    <w:rPr>
      <w:rFonts w:ascii="Arial" w:hAnsi="Arial"/>
      <w:kern w:val="0"/>
      <w:sz w:val="24"/>
    </w:rPr>
  </w:style>
  <w:style w:type="character" w:customStyle="1" w:styleId="282">
    <w:name w:val="引用 Char2"/>
    <w:link w:val="283"/>
    <w:autoRedefine/>
    <w:qFormat/>
    <w:uiPriority w:val="0"/>
    <w:rPr>
      <w:i/>
      <w:iCs/>
      <w:color w:val="000000"/>
    </w:rPr>
  </w:style>
  <w:style w:type="paragraph" w:styleId="283">
    <w:name w:val="Quote"/>
    <w:basedOn w:val="1"/>
    <w:next w:val="1"/>
    <w:link w:val="282"/>
    <w:autoRedefine/>
    <w:qFormat/>
    <w:uiPriority w:val="0"/>
    <w:pPr>
      <w:ind w:firstLine="0" w:firstLineChars="0"/>
    </w:pPr>
    <w:rPr>
      <w:i/>
      <w:iCs/>
      <w:color w:val="000000"/>
      <w:kern w:val="0"/>
      <w:sz w:val="20"/>
      <w:szCs w:val="20"/>
    </w:rPr>
  </w:style>
  <w:style w:type="character" w:customStyle="1" w:styleId="284">
    <w:name w:val="引用 字符"/>
    <w:basedOn w:val="58"/>
    <w:autoRedefine/>
    <w:qFormat/>
    <w:uiPriority w:val="29"/>
    <w:rPr>
      <w:rFonts w:ascii="Times New Roman" w:hAnsi="Times New Roman" w:eastAsia="宋体" w:cs="Times New Roman"/>
      <w:i/>
      <w:iCs/>
      <w:color w:val="404040"/>
      <w:szCs w:val="24"/>
    </w:rPr>
  </w:style>
  <w:style w:type="character" w:customStyle="1" w:styleId="285">
    <w:name w:val="引用 Char1"/>
    <w:autoRedefine/>
    <w:qFormat/>
    <w:uiPriority w:val="29"/>
    <w:rPr>
      <w:i/>
      <w:iCs/>
      <w:color w:val="000000"/>
      <w:kern w:val="2"/>
      <w:sz w:val="21"/>
      <w:szCs w:val="24"/>
    </w:rPr>
  </w:style>
  <w:style w:type="character" w:customStyle="1" w:styleId="286">
    <w:name w:val="ask-title2"/>
    <w:autoRedefine/>
    <w:qFormat/>
    <w:uiPriority w:val="0"/>
  </w:style>
  <w:style w:type="character" w:customStyle="1" w:styleId="287">
    <w:name w:val="纯文本 Char3"/>
    <w:autoRedefine/>
    <w:qFormat/>
    <w:uiPriority w:val="0"/>
    <w:rPr>
      <w:rFonts w:ascii="宋体" w:hAnsi="Courier New" w:eastAsia="宋体" w:cs="Courier New"/>
      <w:kern w:val="2"/>
      <w:sz w:val="21"/>
      <w:szCs w:val="21"/>
      <w:lang w:val="en-US" w:eastAsia="zh-CN" w:bidi="ar-SA"/>
    </w:rPr>
  </w:style>
  <w:style w:type="character" w:customStyle="1" w:styleId="288">
    <w:name w:val="Char Char8"/>
    <w:autoRedefine/>
    <w:qFormat/>
    <w:uiPriority w:val="0"/>
    <w:rPr>
      <w:rFonts w:ascii="Arial" w:hAnsi="Arial" w:eastAsia="黑体"/>
      <w:b/>
      <w:bCs/>
      <w:kern w:val="2"/>
      <w:sz w:val="32"/>
      <w:szCs w:val="32"/>
      <w:lang w:val="en-US" w:eastAsia="zh-CN" w:bidi="ar-SA"/>
    </w:rPr>
  </w:style>
  <w:style w:type="character" w:customStyle="1" w:styleId="289">
    <w:name w:val="Char Char2"/>
    <w:autoRedefine/>
    <w:qFormat/>
    <w:uiPriority w:val="0"/>
    <w:rPr>
      <w:rFonts w:eastAsia="宋体"/>
      <w:kern w:val="2"/>
      <w:sz w:val="21"/>
      <w:szCs w:val="24"/>
      <w:lang w:val="en-US" w:eastAsia="zh-CN" w:bidi="ar-SA"/>
    </w:rPr>
  </w:style>
  <w:style w:type="character" w:customStyle="1" w:styleId="290">
    <w:name w:val="Char Char7"/>
    <w:autoRedefine/>
    <w:qFormat/>
    <w:uiPriority w:val="0"/>
    <w:rPr>
      <w:rFonts w:ascii="Arial" w:hAnsi="Arial" w:eastAsia="黑体"/>
      <w:b/>
      <w:bCs/>
      <w:kern w:val="2"/>
      <w:sz w:val="32"/>
      <w:szCs w:val="32"/>
      <w:lang w:val="en-US" w:eastAsia="zh-CN" w:bidi="ar-SA"/>
    </w:rPr>
  </w:style>
  <w:style w:type="paragraph" w:customStyle="1" w:styleId="291">
    <w:name w:val="样式4"/>
    <w:basedOn w:val="6"/>
    <w:autoRedefine/>
    <w:qFormat/>
    <w:uiPriority w:val="0"/>
    <w:pPr>
      <w:spacing w:line="415" w:lineRule="auto"/>
      <w:ind w:firstLine="0" w:firstLineChars="0"/>
    </w:pPr>
    <w:rPr>
      <w:rFonts w:eastAsia="Arial"/>
    </w:rPr>
  </w:style>
  <w:style w:type="paragraph" w:customStyle="1" w:styleId="292">
    <w:name w:val="样式 标题 1 + 黑体 三号 非加粗 居中 段前: 6 磅 段后: 6 磅 行距: 固定值 20 磅"/>
    <w:basedOn w:val="4"/>
    <w:autoRedefine/>
    <w:qFormat/>
    <w:uiPriority w:val="0"/>
    <w:pPr>
      <w:spacing w:before="120" w:after="120" w:line="400" w:lineRule="exact"/>
      <w:ind w:firstLine="0" w:firstLineChars="0"/>
      <w:jc w:val="center"/>
    </w:pPr>
    <w:rPr>
      <w:rFonts w:ascii="黑体" w:hAnsi="黑体" w:eastAsia="黑体" w:cs="宋体"/>
      <w:b w:val="0"/>
      <w:bCs w:val="0"/>
      <w:sz w:val="32"/>
      <w:szCs w:val="20"/>
    </w:rPr>
  </w:style>
  <w:style w:type="paragraph" w:customStyle="1" w:styleId="293">
    <w:name w:val="样式2"/>
    <w:basedOn w:val="6"/>
    <w:autoRedefine/>
    <w:qFormat/>
    <w:uiPriority w:val="0"/>
    <w:pPr>
      <w:spacing w:line="415" w:lineRule="auto"/>
      <w:ind w:firstLine="0" w:firstLineChars="0"/>
    </w:pPr>
  </w:style>
  <w:style w:type="paragraph" w:styleId="294">
    <w:name w:val="No Spacing"/>
    <w:link w:val="295"/>
    <w:autoRedefine/>
    <w:qFormat/>
    <w:uiPriority w:val="0"/>
    <w:rPr>
      <w:rFonts w:ascii="Calibri" w:hAnsi="Calibri" w:eastAsia="宋体" w:cs="Times New Roman"/>
      <w:sz w:val="22"/>
      <w:lang w:val="en-US" w:eastAsia="zh-CN" w:bidi="ar-SA"/>
    </w:rPr>
  </w:style>
  <w:style w:type="character" w:customStyle="1" w:styleId="295">
    <w:name w:val="无间隔 Char"/>
    <w:link w:val="294"/>
    <w:autoRedefine/>
    <w:qFormat/>
    <w:uiPriority w:val="0"/>
    <w:rPr>
      <w:rFonts w:ascii="Calibri" w:hAnsi="Calibri"/>
      <w:sz w:val="22"/>
      <w:lang w:bidi="ar-SA"/>
    </w:rPr>
  </w:style>
  <w:style w:type="character" w:customStyle="1" w:styleId="296">
    <w:name w:val="con"/>
    <w:autoRedefine/>
    <w:qFormat/>
    <w:uiPriority w:val="0"/>
  </w:style>
  <w:style w:type="character" w:customStyle="1" w:styleId="297">
    <w:name w:val="HTML 预设格式 字符"/>
    <w:basedOn w:val="58"/>
    <w:autoRedefine/>
    <w:semiHidden/>
    <w:qFormat/>
    <w:uiPriority w:val="99"/>
    <w:rPr>
      <w:rFonts w:ascii="Courier New" w:hAnsi="Courier New" w:eastAsia="宋体" w:cs="Courier New"/>
      <w:sz w:val="20"/>
      <w:szCs w:val="20"/>
    </w:rPr>
  </w:style>
  <w:style w:type="character" w:customStyle="1" w:styleId="298">
    <w:name w:val="apple-converted-space"/>
    <w:autoRedefine/>
    <w:qFormat/>
    <w:uiPriority w:val="0"/>
  </w:style>
  <w:style w:type="paragraph" w:styleId="299">
    <w:name w:val="List Paragraph"/>
    <w:basedOn w:val="1"/>
    <w:autoRedefine/>
    <w:qFormat/>
    <w:uiPriority w:val="34"/>
    <w:pPr>
      <w:ind w:firstLine="420"/>
    </w:pPr>
  </w:style>
  <w:style w:type="character" w:customStyle="1" w:styleId="300">
    <w:name w:val="标题 3 Char"/>
    <w:autoRedefine/>
    <w:qFormat/>
    <w:uiPriority w:val="0"/>
    <w:rPr>
      <w:rFonts w:ascii="黑体" w:hAnsi="黑体" w:eastAsia="黑体"/>
      <w:bCs/>
      <w:kern w:val="2"/>
      <w:sz w:val="24"/>
      <w:szCs w:val="24"/>
    </w:rPr>
  </w:style>
  <w:style w:type="character" w:customStyle="1" w:styleId="301">
    <w:name w:val="标题 4 Char"/>
    <w:autoRedefine/>
    <w:qFormat/>
    <w:uiPriority w:val="0"/>
    <w:rPr>
      <w:rFonts w:ascii="Arial" w:hAnsi="Arial" w:eastAsia="黑体"/>
      <w:bCs/>
      <w:kern w:val="2"/>
      <w:sz w:val="21"/>
      <w:szCs w:val="28"/>
    </w:rPr>
  </w:style>
  <w:style w:type="character" w:customStyle="1" w:styleId="302">
    <w:name w:val="标题 2 Char"/>
    <w:autoRedefine/>
    <w:qFormat/>
    <w:uiPriority w:val="0"/>
    <w:rPr>
      <w:rFonts w:ascii="Cambria" w:hAnsi="Cambria" w:eastAsia="宋体" w:cs="Times New Roman"/>
      <w:b/>
      <w:bCs/>
      <w:kern w:val="2"/>
      <w:sz w:val="32"/>
      <w:szCs w:val="32"/>
    </w:rPr>
  </w:style>
  <w:style w:type="character" w:customStyle="1" w:styleId="303">
    <w:name w:val="日期 Char"/>
    <w:autoRedefine/>
    <w:qFormat/>
    <w:uiPriority w:val="0"/>
    <w:rPr>
      <w:kern w:val="2"/>
      <w:sz w:val="21"/>
      <w:szCs w:val="24"/>
    </w:rPr>
  </w:style>
  <w:style w:type="character" w:customStyle="1" w:styleId="304">
    <w:name w:val="纯文本 Char"/>
    <w:autoRedefine/>
    <w:qFormat/>
    <w:uiPriority w:val="0"/>
    <w:rPr>
      <w:rFonts w:ascii="宋体" w:hAnsi="Courier New" w:cs="Courier New"/>
      <w:kern w:val="2"/>
      <w:sz w:val="21"/>
      <w:szCs w:val="21"/>
    </w:rPr>
  </w:style>
  <w:style w:type="character" w:customStyle="1" w:styleId="305">
    <w:name w:val="标题 1 Char"/>
    <w:autoRedefine/>
    <w:qFormat/>
    <w:uiPriority w:val="0"/>
    <w:rPr>
      <w:b/>
      <w:bCs/>
      <w:kern w:val="44"/>
      <w:sz w:val="32"/>
      <w:szCs w:val="44"/>
    </w:rPr>
  </w:style>
  <w:style w:type="character" w:customStyle="1" w:styleId="306">
    <w:name w:val="标题 5 Char"/>
    <w:autoRedefine/>
    <w:qFormat/>
    <w:uiPriority w:val="0"/>
    <w:rPr>
      <w:rFonts w:ascii="Calibri" w:hAnsi="Calibri"/>
      <w:b/>
      <w:bCs/>
      <w:kern w:val="2"/>
      <w:sz w:val="28"/>
      <w:szCs w:val="28"/>
    </w:rPr>
  </w:style>
  <w:style w:type="character" w:customStyle="1" w:styleId="307">
    <w:name w:val="标题 6 Char"/>
    <w:autoRedefine/>
    <w:qFormat/>
    <w:uiPriority w:val="0"/>
    <w:rPr>
      <w:b/>
      <w:bCs/>
      <w:kern w:val="2"/>
      <w:sz w:val="30"/>
      <w:szCs w:val="18"/>
    </w:rPr>
  </w:style>
  <w:style w:type="character" w:customStyle="1" w:styleId="308">
    <w:name w:val="标题 7 Char"/>
    <w:autoRedefine/>
    <w:qFormat/>
    <w:uiPriority w:val="0"/>
    <w:rPr>
      <w:b/>
      <w:bCs/>
      <w:kern w:val="2"/>
      <w:sz w:val="30"/>
      <w:szCs w:val="18"/>
    </w:rPr>
  </w:style>
  <w:style w:type="character" w:customStyle="1" w:styleId="309">
    <w:name w:val="标题 8 Char"/>
    <w:autoRedefine/>
    <w:qFormat/>
    <w:uiPriority w:val="0"/>
    <w:rPr>
      <w:rFonts w:ascii="宋体" w:hAnsi="宋体" w:eastAsia="黑体"/>
      <w:kern w:val="2"/>
      <w:sz w:val="32"/>
      <w:szCs w:val="32"/>
    </w:rPr>
  </w:style>
  <w:style w:type="character" w:customStyle="1" w:styleId="310">
    <w:name w:val="标题 9 Char"/>
    <w:autoRedefine/>
    <w:qFormat/>
    <w:uiPriority w:val="0"/>
    <w:rPr>
      <w:rFonts w:ascii="Cambria" w:hAnsi="Cambria"/>
      <w:kern w:val="2"/>
      <w:sz w:val="21"/>
      <w:szCs w:val="21"/>
    </w:rPr>
  </w:style>
  <w:style w:type="character" w:customStyle="1" w:styleId="311">
    <w:name w:val="称呼 Char"/>
    <w:autoRedefine/>
    <w:qFormat/>
    <w:uiPriority w:val="0"/>
    <w:rPr>
      <w:rFonts w:ascii="仿宋_GB2312" w:eastAsia="仿宋_GB2312"/>
      <w:kern w:val="2"/>
      <w:sz w:val="28"/>
    </w:rPr>
  </w:style>
  <w:style w:type="paragraph" w:customStyle="1" w:styleId="312">
    <w:name w:val="正文2"/>
    <w:link w:val="313"/>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313">
    <w:name w:val="正文2 Char"/>
    <w:link w:val="312"/>
    <w:autoRedefine/>
    <w:qFormat/>
    <w:uiPriority w:val="0"/>
    <w:rPr>
      <w:rFonts w:ascii="宋体"/>
      <w:sz w:val="24"/>
      <w:lang w:bidi="ar-SA"/>
    </w:rPr>
  </w:style>
  <w:style w:type="character" w:customStyle="1" w:styleId="314">
    <w:name w:val="正文文本 Char"/>
    <w:autoRedefine/>
    <w:qFormat/>
    <w:uiPriority w:val="0"/>
    <w:rPr>
      <w:kern w:val="2"/>
      <w:sz w:val="21"/>
      <w:szCs w:val="24"/>
    </w:rPr>
  </w:style>
  <w:style w:type="character" w:customStyle="1" w:styleId="315">
    <w:name w:val="正文文本缩进 Char"/>
    <w:autoRedefine/>
    <w:qFormat/>
    <w:uiPriority w:val="0"/>
    <w:rPr>
      <w:rFonts w:ascii="宋体" w:hAnsi="宋体"/>
      <w:bCs/>
      <w:kern w:val="2"/>
      <w:sz w:val="28"/>
      <w:szCs w:val="32"/>
    </w:rPr>
  </w:style>
  <w:style w:type="character" w:customStyle="1" w:styleId="316">
    <w:name w:val="正文文本缩进 3 Char"/>
    <w:autoRedefine/>
    <w:qFormat/>
    <w:uiPriority w:val="0"/>
    <w:rPr>
      <w:rFonts w:ascii="宋体" w:hAnsi="MS Sans Serif"/>
      <w:bCs/>
      <w:color w:val="000000"/>
      <w:sz w:val="24"/>
    </w:rPr>
  </w:style>
  <w:style w:type="character" w:customStyle="1" w:styleId="317">
    <w:name w:val="正文文本缩进 2 Char"/>
    <w:autoRedefine/>
    <w:qFormat/>
    <w:uiPriority w:val="0"/>
    <w:rPr>
      <w:rFonts w:ascii="宋体" w:hAnsi="MS Sans Serif"/>
      <w:bCs/>
      <w:spacing w:val="12"/>
      <w:sz w:val="24"/>
    </w:rPr>
  </w:style>
  <w:style w:type="character" w:customStyle="1" w:styleId="318">
    <w:name w:val="正文文本 2 Char"/>
    <w:autoRedefine/>
    <w:qFormat/>
    <w:uiPriority w:val="0"/>
    <w:rPr>
      <w:rFonts w:ascii="宋体"/>
      <w:spacing w:val="-20"/>
      <w:kern w:val="2"/>
      <w:sz w:val="28"/>
    </w:rPr>
  </w:style>
  <w:style w:type="character" w:customStyle="1" w:styleId="319">
    <w:name w:val="正文文本 3 Char"/>
    <w:autoRedefine/>
    <w:qFormat/>
    <w:uiPriority w:val="0"/>
    <w:rPr>
      <w:rFonts w:ascii="仿宋_GB2312" w:hAnsi="宋体" w:eastAsia="仿宋_GB2312"/>
      <w:bCs/>
      <w:color w:val="000000"/>
      <w:kern w:val="2"/>
      <w:sz w:val="24"/>
      <w:szCs w:val="32"/>
    </w:rPr>
  </w:style>
  <w:style w:type="character" w:customStyle="1" w:styleId="320">
    <w:name w:val="标题 Char"/>
    <w:autoRedefine/>
    <w:qFormat/>
    <w:uiPriority w:val="0"/>
    <w:rPr>
      <w:rFonts w:ascii="宋体" w:hAnsi="宋体" w:eastAsia="黑体"/>
      <w:b/>
      <w:smallCaps/>
      <w:snapToGrid w:val="0"/>
      <w:kern w:val="2"/>
      <w:sz w:val="44"/>
      <w:szCs w:val="24"/>
    </w:rPr>
  </w:style>
  <w:style w:type="character" w:customStyle="1" w:styleId="321">
    <w:name w:val="批注框文本 Char"/>
    <w:autoRedefine/>
    <w:qFormat/>
    <w:uiPriority w:val="0"/>
    <w:rPr>
      <w:kern w:val="2"/>
      <w:sz w:val="18"/>
    </w:rPr>
  </w:style>
  <w:style w:type="character" w:customStyle="1" w:styleId="322">
    <w:name w:val="批注文字 Char"/>
    <w:autoRedefine/>
    <w:qFormat/>
    <w:uiPriority w:val="0"/>
    <w:rPr>
      <w:sz w:val="24"/>
    </w:rPr>
  </w:style>
  <w:style w:type="character" w:customStyle="1" w:styleId="323">
    <w:name w:val="批注主题 Char"/>
    <w:basedOn w:val="322"/>
    <w:autoRedefine/>
    <w:qFormat/>
    <w:uiPriority w:val="0"/>
    <w:rPr>
      <w:sz w:val="24"/>
    </w:rPr>
  </w:style>
  <w:style w:type="character" w:customStyle="1" w:styleId="324">
    <w:name w:val="文档结构图 Char"/>
    <w:autoRedefine/>
    <w:qFormat/>
    <w:uiPriority w:val="0"/>
    <w:rPr>
      <w:rFonts w:ascii="Calibri" w:hAnsi="Calibri"/>
      <w:bCs/>
      <w:kern w:val="2"/>
      <w:sz w:val="21"/>
      <w:szCs w:val="32"/>
      <w:shd w:val="clear" w:color="auto" w:fill="000080"/>
    </w:rPr>
  </w:style>
  <w:style w:type="character" w:customStyle="1" w:styleId="325">
    <w:name w:val="副标题 Char"/>
    <w:autoRedefine/>
    <w:qFormat/>
    <w:uiPriority w:val="0"/>
    <w:rPr>
      <w:rFonts w:ascii="Arial" w:hAnsi="Arial"/>
      <w:b/>
      <w:bCs/>
      <w:kern w:val="28"/>
      <w:sz w:val="32"/>
      <w:szCs w:val="32"/>
    </w:rPr>
  </w:style>
  <w:style w:type="character" w:customStyle="1" w:styleId="326">
    <w:name w:val="明显引用 Char"/>
    <w:autoRedefine/>
    <w:qFormat/>
    <w:uiPriority w:val="0"/>
    <w:rPr>
      <w:b/>
      <w:bCs/>
      <w:i/>
      <w:iCs/>
      <w:color w:val="4F81BD"/>
      <w:kern w:val="2"/>
      <w:sz w:val="21"/>
      <w:szCs w:val="22"/>
    </w:rPr>
  </w:style>
  <w:style w:type="character" w:customStyle="1" w:styleId="327">
    <w:name w:val="引用 Char"/>
    <w:autoRedefine/>
    <w:qFormat/>
    <w:uiPriority w:val="0"/>
    <w:rPr>
      <w:i/>
      <w:iCs/>
      <w:color w:val="000000"/>
      <w:kern w:val="2"/>
      <w:sz w:val="21"/>
      <w:szCs w:val="22"/>
    </w:rPr>
  </w:style>
  <w:style w:type="character" w:customStyle="1" w:styleId="328">
    <w:name w:val="正文文本 Char1"/>
    <w:autoRedefine/>
    <w:qFormat/>
    <w:uiPriority w:val="0"/>
    <w:rPr>
      <w:kern w:val="2"/>
      <w:sz w:val="21"/>
      <w:szCs w:val="22"/>
    </w:rPr>
  </w:style>
  <w:style w:type="character" w:customStyle="1" w:styleId="329">
    <w:name w:val="不明显强调1"/>
    <w:autoRedefine/>
    <w:qFormat/>
    <w:uiPriority w:val="0"/>
    <w:rPr>
      <w:i/>
      <w:iCs/>
      <w:color w:val="808080"/>
    </w:rPr>
  </w:style>
  <w:style w:type="character" w:customStyle="1" w:styleId="330">
    <w:name w:val="明显参考1"/>
    <w:autoRedefine/>
    <w:qFormat/>
    <w:uiPriority w:val="0"/>
    <w:rPr>
      <w:b/>
      <w:bCs/>
      <w:smallCaps/>
      <w:color w:val="C0504D"/>
      <w:spacing w:val="5"/>
      <w:u w:val="single"/>
    </w:rPr>
  </w:style>
  <w:style w:type="character" w:customStyle="1" w:styleId="331">
    <w:name w:val="书籍标题1"/>
    <w:autoRedefine/>
    <w:qFormat/>
    <w:uiPriority w:val="0"/>
    <w:rPr>
      <w:b/>
      <w:bCs/>
      <w:smallCaps/>
      <w:spacing w:val="5"/>
    </w:rPr>
  </w:style>
  <w:style w:type="character" w:customStyle="1" w:styleId="332">
    <w:name w:val="日期 Char1"/>
    <w:autoRedefine/>
    <w:qFormat/>
    <w:uiPriority w:val="0"/>
    <w:rPr>
      <w:kern w:val="2"/>
      <w:sz w:val="21"/>
      <w:szCs w:val="22"/>
    </w:rPr>
  </w:style>
  <w:style w:type="character" w:customStyle="1" w:styleId="333">
    <w:name w:val="明显强调1"/>
    <w:autoRedefine/>
    <w:qFormat/>
    <w:uiPriority w:val="0"/>
    <w:rPr>
      <w:b/>
      <w:bCs/>
      <w:i/>
      <w:iCs/>
      <w:color w:val="4F81BD"/>
    </w:rPr>
  </w:style>
  <w:style w:type="character" w:customStyle="1" w:styleId="334">
    <w:name w:val="textcontents"/>
    <w:autoRedefine/>
    <w:qFormat/>
    <w:uiPriority w:val="0"/>
    <w:rPr>
      <w:rFonts w:cs="Times New Roman"/>
    </w:rPr>
  </w:style>
  <w:style w:type="character" w:customStyle="1" w:styleId="335">
    <w:name w:val="不明显参考1"/>
    <w:autoRedefine/>
    <w:qFormat/>
    <w:uiPriority w:val="0"/>
    <w:rPr>
      <w:smallCaps/>
      <w:color w:val="C0504D"/>
      <w:u w:val="single"/>
    </w:rPr>
  </w:style>
  <w:style w:type="character" w:customStyle="1" w:styleId="336">
    <w:name w:val="批注文字 Char Char"/>
    <w:autoRedefine/>
    <w:qFormat/>
    <w:uiPriority w:val="0"/>
    <w:rPr>
      <w:rFonts w:ascii="宋体" w:hAnsi="Times New Roman" w:eastAsia="宋体" w:cs="Times New Roman"/>
      <w:sz w:val="28"/>
      <w:szCs w:val="20"/>
    </w:rPr>
  </w:style>
  <w:style w:type="character" w:customStyle="1" w:styleId="337">
    <w:name w:val="文档结构图 Char1"/>
    <w:autoRedefine/>
    <w:qFormat/>
    <w:uiPriority w:val="0"/>
    <w:rPr>
      <w:rFonts w:ascii="宋体"/>
      <w:kern w:val="2"/>
      <w:sz w:val="18"/>
      <w:szCs w:val="18"/>
    </w:rPr>
  </w:style>
  <w:style w:type="character" w:customStyle="1" w:styleId="338">
    <w:name w:val="页脚 Char1"/>
    <w:autoRedefine/>
    <w:semiHidden/>
    <w:qFormat/>
    <w:uiPriority w:val="99"/>
    <w:rPr>
      <w:kern w:val="2"/>
      <w:sz w:val="18"/>
      <w:szCs w:val="18"/>
    </w:rPr>
  </w:style>
  <w:style w:type="character" w:customStyle="1" w:styleId="339">
    <w:name w:val="批注框文本 Char2"/>
    <w:autoRedefine/>
    <w:semiHidden/>
    <w:qFormat/>
    <w:uiPriority w:val="99"/>
    <w:rPr>
      <w:kern w:val="2"/>
      <w:sz w:val="18"/>
      <w:szCs w:val="18"/>
    </w:rPr>
  </w:style>
  <w:style w:type="character" w:customStyle="1" w:styleId="340">
    <w:name w:val="批注主题 Char2"/>
    <w:autoRedefine/>
    <w:semiHidden/>
    <w:qFormat/>
    <w:uiPriority w:val="99"/>
    <w:rPr>
      <w:b/>
      <w:bCs/>
      <w:kern w:val="2"/>
      <w:sz w:val="21"/>
      <w:szCs w:val="22"/>
    </w:rPr>
  </w:style>
  <w:style w:type="character" w:customStyle="1" w:styleId="341">
    <w:name w:val="文档结构图 Char2"/>
    <w:autoRedefine/>
    <w:semiHidden/>
    <w:qFormat/>
    <w:uiPriority w:val="99"/>
    <w:rPr>
      <w:rFonts w:ascii="宋体"/>
      <w:kern w:val="2"/>
      <w:sz w:val="18"/>
      <w:szCs w:val="18"/>
    </w:rPr>
  </w:style>
  <w:style w:type="character" w:customStyle="1" w:styleId="342">
    <w:name w:val="页眉 Char1"/>
    <w:autoRedefine/>
    <w:semiHidden/>
    <w:qFormat/>
    <w:uiPriority w:val="99"/>
    <w:rPr>
      <w:kern w:val="2"/>
      <w:sz w:val="18"/>
      <w:szCs w:val="18"/>
    </w:rPr>
  </w:style>
  <w:style w:type="character" w:customStyle="1" w:styleId="343">
    <w:name w:val="日期 Char2"/>
    <w:autoRedefine/>
    <w:semiHidden/>
    <w:qFormat/>
    <w:uiPriority w:val="99"/>
    <w:rPr>
      <w:kern w:val="2"/>
      <w:sz w:val="21"/>
      <w:szCs w:val="22"/>
    </w:rPr>
  </w:style>
  <w:style w:type="character" w:customStyle="1" w:styleId="344">
    <w:name w:val="正文文本 Char2"/>
    <w:autoRedefine/>
    <w:semiHidden/>
    <w:qFormat/>
    <w:uiPriority w:val="99"/>
    <w:rPr>
      <w:kern w:val="2"/>
      <w:sz w:val="21"/>
      <w:szCs w:val="22"/>
    </w:rPr>
  </w:style>
  <w:style w:type="character" w:customStyle="1" w:styleId="345">
    <w:name w:val="标题 Char1"/>
    <w:autoRedefine/>
    <w:qFormat/>
    <w:uiPriority w:val="10"/>
    <w:rPr>
      <w:rFonts w:ascii="Cambria" w:hAnsi="Cambria" w:cs="Times New Roman"/>
      <w:b/>
      <w:bCs/>
      <w:kern w:val="2"/>
      <w:sz w:val="32"/>
      <w:szCs w:val="32"/>
    </w:rPr>
  </w:style>
  <w:style w:type="character" w:customStyle="1" w:styleId="346">
    <w:name w:val="副标题 Char1"/>
    <w:autoRedefine/>
    <w:qFormat/>
    <w:uiPriority w:val="11"/>
    <w:rPr>
      <w:rFonts w:ascii="Cambria" w:hAnsi="Cambria" w:cs="Times New Roman"/>
      <w:b/>
      <w:bCs/>
      <w:kern w:val="28"/>
      <w:sz w:val="32"/>
      <w:szCs w:val="32"/>
    </w:rPr>
  </w:style>
  <w:style w:type="paragraph" w:customStyle="1" w:styleId="347">
    <w:name w:val="空半行"/>
    <w:basedOn w:val="1"/>
    <w:autoRedefine/>
    <w:qFormat/>
    <w:uiPriority w:val="0"/>
    <w:pPr>
      <w:adjustRightInd w:val="0"/>
      <w:spacing w:line="120" w:lineRule="exact"/>
      <w:ind w:firstLine="0" w:firstLineChars="0"/>
      <w:textAlignment w:val="baseline"/>
    </w:pPr>
    <w:rPr>
      <w:rFonts w:eastAsia="仿宋_GB2312"/>
      <w:color w:val="FFFFFF"/>
      <w:kern w:val="0"/>
      <w:sz w:val="30"/>
      <w:szCs w:val="20"/>
    </w:rPr>
  </w:style>
  <w:style w:type="paragraph" w:customStyle="1" w:styleId="348">
    <w:name w:val="flNote"/>
    <w:basedOn w:val="1"/>
    <w:autoRedefine/>
    <w:qFormat/>
    <w:uiPriority w:val="0"/>
    <w:pPr>
      <w:adjustRightInd w:val="0"/>
      <w:spacing w:before="320" w:after="160" w:line="360" w:lineRule="atLeast"/>
      <w:ind w:firstLine="0" w:firstLineChars="0"/>
      <w:jc w:val="center"/>
      <w:textAlignment w:val="baseline"/>
    </w:pPr>
    <w:rPr>
      <w:rFonts w:ascii="Arial" w:eastAsia="黑体"/>
      <w:kern w:val="0"/>
      <w:sz w:val="30"/>
      <w:szCs w:val="20"/>
    </w:rPr>
  </w:style>
  <w:style w:type="paragraph" w:customStyle="1" w:styleId="349">
    <w:name w:val="p0"/>
    <w:basedOn w:val="1"/>
    <w:autoRedefine/>
    <w:qFormat/>
    <w:uiPriority w:val="0"/>
    <w:pPr>
      <w:widowControl/>
      <w:spacing w:before="100" w:beforeAutospacing="1" w:after="100" w:afterAutospacing="1"/>
      <w:ind w:firstLine="0" w:firstLineChars="0"/>
      <w:jc w:val="left"/>
    </w:pPr>
    <w:rPr>
      <w:rFonts w:ascii="宋体" w:hAnsi="宋体" w:cs="宋体"/>
      <w:kern w:val="0"/>
      <w:sz w:val="24"/>
    </w:rPr>
  </w:style>
  <w:style w:type="character" w:customStyle="1" w:styleId="350">
    <w:name w:val="正文文本 (2)_"/>
    <w:link w:val="351"/>
    <w:autoRedefine/>
    <w:qFormat/>
    <w:locked/>
    <w:uiPriority w:val="99"/>
    <w:rPr>
      <w:rFonts w:ascii="MingLiU" w:eastAsia="MingLiU" w:cs="MingLiU"/>
      <w:spacing w:val="20"/>
      <w:sz w:val="22"/>
      <w:shd w:val="clear" w:color="auto" w:fill="FFFFFF"/>
    </w:rPr>
  </w:style>
  <w:style w:type="paragraph" w:customStyle="1" w:styleId="351">
    <w:name w:val="正文文本 (2)1"/>
    <w:basedOn w:val="1"/>
    <w:link w:val="350"/>
    <w:autoRedefine/>
    <w:qFormat/>
    <w:uiPriority w:val="99"/>
    <w:pPr>
      <w:shd w:val="clear" w:color="auto" w:fill="FFFFFF"/>
      <w:spacing w:before="300" w:line="439" w:lineRule="exact"/>
      <w:ind w:firstLine="0" w:firstLineChars="0"/>
      <w:jc w:val="distribute"/>
    </w:pPr>
    <w:rPr>
      <w:rFonts w:ascii="MingLiU" w:eastAsia="MingLiU"/>
      <w:spacing w:val="20"/>
      <w:kern w:val="0"/>
      <w:sz w:val="22"/>
      <w:szCs w:val="20"/>
    </w:rPr>
  </w:style>
  <w:style w:type="character" w:customStyle="1" w:styleId="352">
    <w:name w:val="正文文本 (2) + 间距 0 pt5"/>
    <w:autoRedefine/>
    <w:qFormat/>
    <w:uiPriority w:val="99"/>
    <w:rPr>
      <w:rFonts w:ascii="MingLiU" w:eastAsia="MingLiU" w:cs="MingLiU"/>
      <w:spacing w:val="0"/>
      <w:sz w:val="22"/>
      <w:shd w:val="clear" w:color="auto" w:fill="FFFFFF"/>
    </w:rPr>
  </w:style>
  <w:style w:type="paragraph" w:customStyle="1" w:styleId="353">
    <w:name w:val="Char Char Char"/>
    <w:basedOn w:val="1"/>
    <w:autoRedefine/>
    <w:qFormat/>
    <w:uiPriority w:val="0"/>
    <w:pPr>
      <w:ind w:firstLine="0" w:firstLineChars="0"/>
    </w:pPr>
    <w:rPr>
      <w:szCs w:val="20"/>
    </w:rPr>
  </w:style>
  <w:style w:type="character" w:customStyle="1" w:styleId="354">
    <w:name w:val="H001 Char"/>
    <w:link w:val="355"/>
    <w:autoRedefine/>
    <w:qFormat/>
    <w:uiPriority w:val="0"/>
    <w:rPr>
      <w:rFonts w:eastAsia="黑体"/>
      <w:bCs/>
      <w:kern w:val="44"/>
      <w:sz w:val="24"/>
      <w:szCs w:val="44"/>
    </w:rPr>
  </w:style>
  <w:style w:type="paragraph" w:customStyle="1" w:styleId="355">
    <w:name w:val="H001"/>
    <w:basedOn w:val="4"/>
    <w:link w:val="354"/>
    <w:autoRedefine/>
    <w:qFormat/>
    <w:uiPriority w:val="0"/>
    <w:pPr>
      <w:spacing w:before="240" w:after="240" w:line="240" w:lineRule="exact"/>
      <w:ind w:firstLine="0" w:firstLineChars="0"/>
    </w:pPr>
    <w:rPr>
      <w:rFonts w:eastAsia="黑体"/>
      <w:b w:val="0"/>
      <w:sz w:val="24"/>
    </w:rPr>
  </w:style>
  <w:style w:type="paragraph" w:customStyle="1" w:styleId="356">
    <w:name w:val="默认段落字体 Para Char Char Char Char Char Char Char Char Char Char Char Char Char Char Char1 Char"/>
    <w:basedOn w:val="17"/>
    <w:autoRedefine/>
    <w:qFormat/>
    <w:uiPriority w:val="0"/>
    <w:pPr>
      <w:shd w:val="clear" w:color="auto" w:fill="000080"/>
    </w:pPr>
    <w:rPr>
      <w:rFonts w:ascii="Times New Roman"/>
      <w:sz w:val="21"/>
      <w:szCs w:val="24"/>
    </w:rPr>
  </w:style>
  <w:style w:type="table" w:customStyle="1" w:styleId="357">
    <w:name w:val="网格型1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
    <w:name w:val="网格型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
    <w:name w:val="网格型1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
    <w:name w:val="网格型4"/>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
    <w:name w:val="网格型1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2">
    <w:name w:val="Unresolved Mention"/>
    <w:basedOn w:val="58"/>
    <w:autoRedefine/>
    <w:unhideWhenUsed/>
    <w:qFormat/>
    <w:uiPriority w:val="99"/>
    <w:rPr>
      <w:color w:val="605E5C"/>
      <w:shd w:val="clear" w:color="auto" w:fill="E1DFDD"/>
    </w:rPr>
  </w:style>
  <w:style w:type="paragraph" w:customStyle="1" w:styleId="363">
    <w:name w:val="正文3"/>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64">
    <w:name w:val="正文_0_0_0"/>
    <w:basedOn w:val="365"/>
    <w:autoRedefine/>
    <w:qFormat/>
    <w:uiPriority w:val="0"/>
    <w:rPr>
      <w:rFonts w:ascii="Calibri" w:hAnsi="Calibri"/>
      <w:szCs w:val="21"/>
    </w:rPr>
  </w:style>
  <w:style w:type="paragraph" w:customStyle="1" w:styleId="365">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7">
    <w:name w:val="正文4"/>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368">
    <w:name w:val="Char Char26"/>
    <w:autoRedefine/>
    <w:qFormat/>
    <w:uiPriority w:val="0"/>
    <w:rPr>
      <w:rFonts w:eastAsia="宋体"/>
      <w:kern w:val="2"/>
      <w:sz w:val="18"/>
      <w:szCs w:val="18"/>
      <w:lang w:val="en-US" w:eastAsia="zh-CN" w:bidi="ar-SA"/>
    </w:rPr>
  </w:style>
  <w:style w:type="character" w:customStyle="1" w:styleId="369">
    <w:name w:val="Char Char22"/>
    <w:autoRedefine/>
    <w:qFormat/>
    <w:uiPriority w:val="0"/>
    <w:rPr>
      <w:rFonts w:eastAsia="宋体"/>
      <w:spacing w:val="-20"/>
      <w:kern w:val="2"/>
      <w:sz w:val="18"/>
      <w:szCs w:val="18"/>
      <w:lang w:val="en-US" w:eastAsia="zh-CN" w:bidi="ar-SA"/>
    </w:rPr>
  </w:style>
  <w:style w:type="paragraph" w:customStyle="1" w:styleId="370">
    <w:name w:val="Char3"/>
    <w:basedOn w:val="1"/>
    <w:autoRedefine/>
    <w:qFormat/>
    <w:uiPriority w:val="0"/>
    <w:pPr>
      <w:ind w:firstLine="0" w:firstLineChars="0"/>
    </w:pPr>
    <w:rPr>
      <w:rFonts w:ascii="Calibri" w:hAnsi="Calibri"/>
      <w:szCs w:val="22"/>
    </w:rPr>
  </w:style>
  <w:style w:type="paragraph" w:customStyle="1" w:styleId="371">
    <w:name w:val="Char Char Char Char2"/>
    <w:basedOn w:val="1"/>
    <w:autoRedefine/>
    <w:qFormat/>
    <w:uiPriority w:val="0"/>
    <w:pPr>
      <w:snapToGrid w:val="0"/>
      <w:spacing w:line="360" w:lineRule="auto"/>
    </w:pPr>
    <w:rPr>
      <w:rFonts w:ascii="Calibri" w:hAnsi="Calibri" w:eastAsia="仿宋_GB2312"/>
      <w:sz w:val="24"/>
      <w:szCs w:val="22"/>
    </w:rPr>
  </w:style>
  <w:style w:type="paragraph" w:customStyle="1" w:styleId="372">
    <w:name w:val="正文_0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Char10 Char Char Char Char Char Char Char Char Char2"/>
    <w:basedOn w:val="1"/>
    <w:next w:val="1"/>
    <w:autoRedefine/>
    <w:qFormat/>
    <w:uiPriority w:val="0"/>
    <w:pPr>
      <w:ind w:firstLine="0" w:firstLineChars="0"/>
    </w:pPr>
    <w:rPr>
      <w:rFonts w:ascii="Calibri" w:hAnsi="Calibri"/>
      <w:szCs w:val="22"/>
    </w:rPr>
  </w:style>
  <w:style w:type="paragraph" w:customStyle="1" w:styleId="374">
    <w:name w:val="Char Char Char Char Char Char2"/>
    <w:basedOn w:val="1"/>
    <w:autoRedefine/>
    <w:qFormat/>
    <w:uiPriority w:val="0"/>
    <w:pPr>
      <w:ind w:firstLine="0" w:firstLineChars="0"/>
    </w:pPr>
    <w:rPr>
      <w:rFonts w:ascii="Tahoma" w:hAnsi="Tahoma"/>
      <w:sz w:val="24"/>
      <w:szCs w:val="20"/>
    </w:rPr>
  </w:style>
  <w:style w:type="paragraph" w:customStyle="1" w:styleId="375">
    <w:name w:val="List Paragraph1"/>
    <w:basedOn w:val="1"/>
    <w:autoRedefine/>
    <w:qFormat/>
    <w:uiPriority w:val="99"/>
    <w:pPr>
      <w:spacing w:line="240" w:lineRule="exact"/>
      <w:ind w:firstLine="420"/>
    </w:pPr>
    <w:rPr>
      <w:rFonts w:ascii="Calibri" w:hAnsi="Calibri"/>
      <w:szCs w:val="22"/>
    </w:rPr>
  </w:style>
  <w:style w:type="character" w:customStyle="1" w:styleId="376">
    <w:name w:val="Char Char29"/>
    <w:autoRedefine/>
    <w:qFormat/>
    <w:uiPriority w:val="0"/>
    <w:rPr>
      <w:rFonts w:ascii="Arial" w:hAnsi="Arial" w:eastAsia="黑体"/>
      <w:b/>
      <w:bCs/>
      <w:kern w:val="2"/>
      <w:sz w:val="32"/>
      <w:szCs w:val="32"/>
      <w:lang w:val="en-US" w:eastAsia="zh-CN" w:bidi="ar-SA"/>
    </w:rPr>
  </w:style>
  <w:style w:type="character" w:customStyle="1" w:styleId="377">
    <w:name w:val="Char Char28"/>
    <w:autoRedefine/>
    <w:qFormat/>
    <w:uiPriority w:val="0"/>
    <w:rPr>
      <w:b/>
      <w:bCs/>
      <w:kern w:val="2"/>
      <w:sz w:val="32"/>
      <w:szCs w:val="32"/>
    </w:rPr>
  </w:style>
  <w:style w:type="character" w:customStyle="1" w:styleId="378">
    <w:name w:val="Char Char30"/>
    <w:autoRedefine/>
    <w:qFormat/>
    <w:uiPriority w:val="0"/>
    <w:rPr>
      <w:rFonts w:eastAsia="宋体"/>
      <w:b/>
      <w:bCs/>
      <w:kern w:val="44"/>
      <w:sz w:val="44"/>
      <w:szCs w:val="44"/>
      <w:lang w:val="en-US" w:eastAsia="zh-CN" w:bidi="ar-SA"/>
    </w:rPr>
  </w:style>
  <w:style w:type="paragraph" w:customStyle="1" w:styleId="379">
    <w:name w:val="Char Char Char Char Char1"/>
    <w:basedOn w:val="1"/>
    <w:autoRedefine/>
    <w:qFormat/>
    <w:uiPriority w:val="0"/>
    <w:pPr>
      <w:ind w:firstLine="0" w:firstLineChars="0"/>
    </w:pPr>
    <w:rPr>
      <w:rFonts w:ascii="Tahoma" w:hAnsi="Tahoma"/>
      <w:sz w:val="24"/>
      <w:szCs w:val="20"/>
    </w:rPr>
  </w:style>
  <w:style w:type="paragraph" w:customStyle="1" w:styleId="380">
    <w:name w:val="Char Char1 Char Char Char Char"/>
    <w:basedOn w:val="5"/>
    <w:next w:val="1"/>
    <w:autoRedefine/>
    <w:qFormat/>
    <w:uiPriority w:val="0"/>
    <w:pPr>
      <w:spacing w:line="240" w:lineRule="auto"/>
      <w:jc w:val="left"/>
    </w:pPr>
    <w:rPr>
      <w:rFonts w:ascii="Arial" w:hAnsi="Arial"/>
      <w:b/>
      <w:sz w:val="32"/>
    </w:rPr>
  </w:style>
  <w:style w:type="character" w:customStyle="1" w:styleId="381">
    <w:name w:val="mini-outputtext1"/>
    <w:basedOn w:val="58"/>
    <w:autoRedefine/>
    <w:qFormat/>
    <w:uiPriority w:val="0"/>
  </w:style>
  <w:style w:type="paragraph" w:customStyle="1" w:styleId="382">
    <w:name w:val="TOC 标题2"/>
    <w:basedOn w:val="4"/>
    <w:next w:val="1"/>
    <w:autoRedefine/>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3">
    <w:name w:val="修订2"/>
    <w:autoRedefine/>
    <w:hidden/>
    <w:qFormat/>
    <w:uiPriority w:val="99"/>
    <w:rPr>
      <w:rFonts w:ascii="Times New Roman" w:hAnsi="Times New Roman" w:eastAsia="宋体" w:cs="Times New Roman"/>
      <w:kern w:val="2"/>
      <w:sz w:val="21"/>
      <w:szCs w:val="24"/>
      <w:lang w:val="en-US" w:eastAsia="zh-CN" w:bidi="ar-SA"/>
    </w:rPr>
  </w:style>
  <w:style w:type="character" w:customStyle="1" w:styleId="384">
    <w:name w:val="不明显强调2"/>
    <w:autoRedefine/>
    <w:qFormat/>
    <w:uiPriority w:val="0"/>
    <w:rPr>
      <w:i/>
      <w:iCs/>
      <w:color w:val="808080"/>
    </w:rPr>
  </w:style>
  <w:style w:type="character" w:customStyle="1" w:styleId="385">
    <w:name w:val="明显参考2"/>
    <w:autoRedefine/>
    <w:qFormat/>
    <w:uiPriority w:val="0"/>
    <w:rPr>
      <w:b/>
      <w:bCs/>
      <w:smallCaps/>
      <w:color w:val="C0504D"/>
      <w:spacing w:val="5"/>
      <w:u w:val="single"/>
    </w:rPr>
  </w:style>
  <w:style w:type="character" w:customStyle="1" w:styleId="386">
    <w:name w:val="书籍标题2"/>
    <w:autoRedefine/>
    <w:qFormat/>
    <w:uiPriority w:val="0"/>
    <w:rPr>
      <w:b/>
      <w:bCs/>
      <w:smallCaps/>
      <w:spacing w:val="5"/>
    </w:rPr>
  </w:style>
  <w:style w:type="character" w:customStyle="1" w:styleId="387">
    <w:name w:val="明显强调2"/>
    <w:autoRedefine/>
    <w:qFormat/>
    <w:uiPriority w:val="0"/>
    <w:rPr>
      <w:b/>
      <w:bCs/>
      <w:i/>
      <w:iCs/>
      <w:color w:val="4F81BD"/>
    </w:rPr>
  </w:style>
  <w:style w:type="character" w:customStyle="1" w:styleId="388">
    <w:name w:val="不明显参考2"/>
    <w:autoRedefine/>
    <w:qFormat/>
    <w:uiPriority w:val="0"/>
    <w:rPr>
      <w:smallCaps/>
      <w:color w:val="C0504D"/>
      <w:u w:val="single"/>
    </w:rPr>
  </w:style>
  <w:style w:type="paragraph" w:customStyle="1" w:styleId="389">
    <w:name w:val="目录 71"/>
    <w:basedOn w:val="1"/>
    <w:next w:val="1"/>
    <w:autoRedefine/>
    <w:unhideWhenUsed/>
    <w:qFormat/>
    <w:uiPriority w:val="39"/>
    <w:pPr>
      <w:spacing w:line="360" w:lineRule="auto"/>
      <w:ind w:left="2520" w:leftChars="1200" w:firstLine="0" w:firstLineChars="0"/>
    </w:pPr>
    <w:rPr>
      <w:rFonts w:ascii="等线" w:hAnsi="等线" w:eastAsia="等线"/>
      <w:sz w:val="24"/>
      <w:szCs w:val="22"/>
    </w:rPr>
  </w:style>
  <w:style w:type="paragraph" w:customStyle="1" w:styleId="390">
    <w:name w:val="目录 51"/>
    <w:basedOn w:val="1"/>
    <w:next w:val="1"/>
    <w:autoRedefine/>
    <w:unhideWhenUsed/>
    <w:qFormat/>
    <w:uiPriority w:val="39"/>
    <w:pPr>
      <w:spacing w:line="360" w:lineRule="auto"/>
      <w:ind w:left="1680" w:leftChars="800" w:firstLine="0" w:firstLineChars="0"/>
    </w:pPr>
    <w:rPr>
      <w:rFonts w:ascii="等线" w:hAnsi="等线" w:eastAsia="等线"/>
      <w:sz w:val="24"/>
      <w:szCs w:val="22"/>
    </w:rPr>
  </w:style>
  <w:style w:type="paragraph" w:customStyle="1" w:styleId="391">
    <w:name w:val="目录 31"/>
    <w:basedOn w:val="1"/>
    <w:next w:val="1"/>
    <w:autoRedefine/>
    <w:unhideWhenUsed/>
    <w:qFormat/>
    <w:uiPriority w:val="39"/>
    <w:pPr>
      <w:widowControl/>
      <w:spacing w:after="100" w:line="259" w:lineRule="auto"/>
      <w:ind w:left="440" w:firstLine="0" w:firstLineChars="0"/>
      <w:jc w:val="left"/>
    </w:pPr>
    <w:rPr>
      <w:rFonts w:ascii="等线" w:hAnsi="等线" w:eastAsia="等线"/>
      <w:kern w:val="0"/>
      <w:sz w:val="22"/>
      <w:szCs w:val="22"/>
    </w:rPr>
  </w:style>
  <w:style w:type="paragraph" w:customStyle="1" w:styleId="392">
    <w:name w:val="目录 81"/>
    <w:basedOn w:val="1"/>
    <w:next w:val="1"/>
    <w:autoRedefine/>
    <w:unhideWhenUsed/>
    <w:qFormat/>
    <w:uiPriority w:val="39"/>
    <w:pPr>
      <w:spacing w:line="360" w:lineRule="auto"/>
      <w:ind w:left="2940" w:leftChars="1400" w:firstLine="0" w:firstLineChars="0"/>
    </w:pPr>
    <w:rPr>
      <w:rFonts w:ascii="等线" w:hAnsi="等线" w:eastAsia="等线"/>
      <w:sz w:val="24"/>
      <w:szCs w:val="22"/>
    </w:rPr>
  </w:style>
  <w:style w:type="paragraph" w:customStyle="1" w:styleId="393">
    <w:name w:val="目录 41"/>
    <w:basedOn w:val="1"/>
    <w:next w:val="1"/>
    <w:autoRedefine/>
    <w:unhideWhenUsed/>
    <w:qFormat/>
    <w:uiPriority w:val="39"/>
    <w:pPr>
      <w:spacing w:line="360" w:lineRule="auto"/>
      <w:ind w:left="1260" w:leftChars="600" w:firstLine="0" w:firstLineChars="0"/>
    </w:pPr>
    <w:rPr>
      <w:rFonts w:ascii="等线" w:hAnsi="等线" w:eastAsia="等线"/>
      <w:sz w:val="24"/>
      <w:szCs w:val="22"/>
    </w:rPr>
  </w:style>
  <w:style w:type="paragraph" w:customStyle="1" w:styleId="394">
    <w:name w:val="目录 61"/>
    <w:basedOn w:val="1"/>
    <w:next w:val="1"/>
    <w:autoRedefine/>
    <w:unhideWhenUsed/>
    <w:qFormat/>
    <w:uiPriority w:val="39"/>
    <w:pPr>
      <w:spacing w:line="360" w:lineRule="auto"/>
      <w:ind w:left="2100" w:leftChars="1000" w:firstLine="0" w:firstLineChars="0"/>
    </w:pPr>
    <w:rPr>
      <w:rFonts w:ascii="等线" w:hAnsi="等线" w:eastAsia="等线"/>
      <w:sz w:val="24"/>
      <w:szCs w:val="22"/>
    </w:rPr>
  </w:style>
  <w:style w:type="paragraph" w:customStyle="1" w:styleId="395">
    <w:name w:val="目录 91"/>
    <w:basedOn w:val="1"/>
    <w:next w:val="1"/>
    <w:autoRedefine/>
    <w:unhideWhenUsed/>
    <w:qFormat/>
    <w:uiPriority w:val="39"/>
    <w:pPr>
      <w:spacing w:line="360" w:lineRule="auto"/>
      <w:ind w:left="3360" w:leftChars="1600" w:firstLine="0" w:firstLineChars="0"/>
    </w:pPr>
    <w:rPr>
      <w:rFonts w:ascii="等线" w:hAnsi="等线" w:eastAsia="等线"/>
      <w:sz w:val="24"/>
      <w:szCs w:val="22"/>
    </w:rPr>
  </w:style>
  <w:style w:type="table" w:customStyle="1" w:styleId="396">
    <w:name w:val="网格型14"/>
    <w:basedOn w:val="5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7">
    <w:name w:val="访问过的超链接1"/>
    <w:basedOn w:val="58"/>
    <w:autoRedefine/>
    <w:unhideWhenUsed/>
    <w:qFormat/>
    <w:uiPriority w:val="0"/>
    <w:rPr>
      <w:color w:val="954F72"/>
      <w:u w:val="single"/>
    </w:rPr>
  </w:style>
  <w:style w:type="character" w:customStyle="1" w:styleId="398">
    <w:name w:val="超链接1"/>
    <w:basedOn w:val="58"/>
    <w:autoRedefine/>
    <w:unhideWhenUsed/>
    <w:qFormat/>
    <w:uiPriority w:val="99"/>
    <w:rPr>
      <w:color w:val="0563C1"/>
      <w:u w:val="single"/>
    </w:rPr>
  </w:style>
  <w:style w:type="table" w:customStyle="1" w:styleId="399">
    <w:name w:val="网格型1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00">
    <w:name w:val="明显引用1"/>
    <w:basedOn w:val="1"/>
    <w:next w:val="1"/>
    <w:autoRedefine/>
    <w:qFormat/>
    <w:uiPriority w:val="0"/>
    <w:pPr>
      <w:pBdr>
        <w:bottom w:val="single" w:color="4F81BD" w:sz="4" w:space="4"/>
      </w:pBdr>
      <w:spacing w:before="200" w:after="280" w:line="360" w:lineRule="auto"/>
      <w:ind w:left="936" w:right="936" w:firstLine="0" w:firstLineChars="0"/>
    </w:pPr>
    <w:rPr>
      <w:rFonts w:ascii="Calibri" w:hAnsi="Calibri"/>
      <w:b/>
      <w:bCs/>
      <w:i/>
      <w:iCs/>
      <w:color w:val="4F81BD"/>
      <w:szCs w:val="22"/>
    </w:rPr>
  </w:style>
  <w:style w:type="paragraph" w:customStyle="1" w:styleId="401">
    <w:name w:val="引用1"/>
    <w:basedOn w:val="1"/>
    <w:next w:val="1"/>
    <w:autoRedefine/>
    <w:qFormat/>
    <w:uiPriority w:val="0"/>
    <w:pPr>
      <w:spacing w:line="360" w:lineRule="auto"/>
      <w:ind w:firstLine="0" w:firstLineChars="0"/>
    </w:pPr>
    <w:rPr>
      <w:rFonts w:ascii="Calibri" w:hAnsi="Calibri"/>
      <w:i/>
      <w:iCs/>
      <w:color w:val="000000"/>
      <w:szCs w:val="22"/>
    </w:rPr>
  </w:style>
  <w:style w:type="paragraph" w:customStyle="1" w:styleId="402">
    <w:name w:val="无间隔1"/>
    <w:autoRedefine/>
    <w:qFormat/>
    <w:uiPriority w:val="0"/>
    <w:rPr>
      <w:rFonts w:ascii="Calibri" w:hAnsi="Calibri" w:eastAsia="宋体" w:cs="Times New Roman"/>
      <w:sz w:val="22"/>
      <w:szCs w:val="22"/>
      <w:lang w:val="en-US" w:eastAsia="zh-CN" w:bidi="ar-SA"/>
    </w:rPr>
  </w:style>
  <w:style w:type="paragraph" w:customStyle="1" w:styleId="403">
    <w:name w:val="列出段落1"/>
    <w:basedOn w:val="1"/>
    <w:autoRedefine/>
    <w:qFormat/>
    <w:uiPriority w:val="34"/>
    <w:pPr>
      <w:spacing w:line="360" w:lineRule="auto"/>
      <w:ind w:firstLine="420"/>
    </w:pPr>
    <w:rPr>
      <w:sz w:val="24"/>
    </w:rPr>
  </w:style>
  <w:style w:type="table" w:customStyle="1" w:styleId="404">
    <w:name w:val="网格型111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5">
    <w:name w:val="_Style 58"/>
    <w:basedOn w:val="4"/>
    <w:next w:val="1"/>
    <w:autoRedefine/>
    <w:qFormat/>
    <w:uiPriority w:val="39"/>
    <w:pPr>
      <w:widowControl/>
      <w:spacing w:beforeLines="100" w:afterLines="100" w:line="259" w:lineRule="auto"/>
      <w:ind w:firstLine="0" w:firstLineChars="0"/>
      <w:jc w:val="left"/>
      <w:outlineLvl w:val="9"/>
    </w:pPr>
    <w:rPr>
      <w:rFonts w:ascii="Calibri Light" w:hAnsi="Calibri Light"/>
      <w:b w:val="0"/>
      <w:bCs w:val="0"/>
      <w:color w:val="2E74B5"/>
      <w:kern w:val="0"/>
      <w:sz w:val="32"/>
      <w:szCs w:val="32"/>
    </w:rPr>
  </w:style>
  <w:style w:type="table" w:customStyle="1" w:styleId="406">
    <w:name w:val="Table Normal"/>
    <w:autoRedefine/>
    <w:semiHidden/>
    <w:unhideWhenUsed/>
    <w:qFormat/>
    <w:uiPriority w:val="0"/>
    <w:tblPr>
      <w:tblCellMar>
        <w:top w:w="0" w:type="dxa"/>
        <w:left w:w="0" w:type="dxa"/>
        <w:bottom w:w="0" w:type="dxa"/>
        <w:right w:w="0" w:type="dxa"/>
      </w:tblCellMar>
    </w:tblPr>
  </w:style>
  <w:style w:type="paragraph" w:customStyle="1" w:styleId="407">
    <w:name w:val="列表段落11"/>
    <w:basedOn w:val="1"/>
    <w:autoRedefine/>
    <w:qFormat/>
    <w:uiPriority w:val="34"/>
    <w:pPr>
      <w:spacing w:line="360" w:lineRule="auto"/>
      <w:ind w:firstLine="420"/>
    </w:pPr>
    <w:rPr>
      <w:sz w:val="24"/>
    </w:rPr>
  </w:style>
  <w:style w:type="table" w:customStyle="1" w:styleId="408">
    <w:name w:val="网格型14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09">
    <w:name w:val="font41"/>
    <w:basedOn w:val="5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5843" textRotate="1"/>
    <customShpInfo spid="_x0000_s35844" textRotate="1"/>
    <customShpInfo spid="_x0000_s35842"/>
    <customShpInfo spid="_x0000_s35845" textRotate="1"/>
    <customShpInfo spid="_x0000_s1032"/>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7EBBB-28C5-40F1-AB9B-293905566A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180</Pages>
  <Words>73032</Words>
  <Characters>76919</Characters>
  <Lines>639</Lines>
  <Paragraphs>179</Paragraphs>
  <TotalTime>33</TotalTime>
  <ScaleCrop>false</ScaleCrop>
  <LinksUpToDate>false</LinksUpToDate>
  <CharactersWithSpaces>82259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2021-07-12T02:28:00Z</dcterms:created>
  <dc:creator>华杰</dc:creator>
  <cp:lastModifiedBy>茹康</cp:lastModifiedBy>
  <cp:lastPrinted>2023-08-02T02:33:00Z</cp:lastPrinted>
  <dcterms:modified xsi:type="dcterms:W3CDTF">2025-06-16T02:56:10Z</dcterms:modified>
  <cp:revision>832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28A3D1E9EF844EABA41036D78AE7CD76_13</vt:lpwstr>
  </property>
  <property fmtid="{D5CDD505-2E9C-101B-9397-08002B2CF9AE}" pid="4" name="KSOTemplateDocerSaveRecord">
    <vt:lpwstr>eyJoZGlkIjoiNGUyMDcwNjYyOWQyMjJlN2NlOTgyZjE5NGRiMTNiM2YiLCJ1c2VySWQiOiIxNTc0MjM0NTYxIn0=</vt:lpwstr>
  </property>
</Properties>
</file>