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</w:rPr>
        <w:t>采购需求</w:t>
      </w:r>
    </w:p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val="en-US" w:eastAsia="zh-CN"/>
        </w:rPr>
        <w:t>供参考，具体内容以招标文件为准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）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1.</w:t>
      </w:r>
      <w:r>
        <w:rPr>
          <w:rFonts w:ascii="宋体" w:hAnsi="宋体" w:eastAsia="宋体"/>
          <w:sz w:val="24"/>
          <w:szCs w:val="18"/>
          <w:highlight w:val="none"/>
        </w:rPr>
        <w:t>根据《关于规范政府采购进口产品有关工作的通知》及政府采购管理部门的相关规定，下列采购需求中</w:t>
      </w:r>
      <w:r>
        <w:rPr>
          <w:rFonts w:hint="eastAsia" w:ascii="宋体" w:hAnsi="宋体" w:eastAsia="宋体"/>
          <w:sz w:val="24"/>
          <w:szCs w:val="18"/>
          <w:highlight w:val="none"/>
        </w:rPr>
        <w:t>标注进口产品的货物均</w:t>
      </w:r>
      <w:r>
        <w:rPr>
          <w:rFonts w:ascii="宋体" w:hAnsi="宋体" w:eastAsia="宋体"/>
          <w:sz w:val="24"/>
          <w:szCs w:val="18"/>
          <w:highlight w:val="none"/>
        </w:rPr>
        <w:t>已履行相关论证手续，经核准采购进口</w:t>
      </w:r>
      <w:r>
        <w:rPr>
          <w:rFonts w:hint="eastAsia" w:ascii="宋体" w:hAnsi="宋体" w:eastAsia="宋体"/>
          <w:sz w:val="24"/>
          <w:szCs w:val="18"/>
          <w:highlight w:val="none"/>
        </w:rPr>
        <w:t>产品</w:t>
      </w:r>
      <w:r>
        <w:rPr>
          <w:rFonts w:ascii="宋体" w:hAnsi="宋体" w:eastAsia="宋体"/>
          <w:sz w:val="24"/>
          <w:szCs w:val="18"/>
          <w:highlight w:val="none"/>
        </w:rPr>
        <w:t>，但不限制满足招标文件要求的国内产品参与竞争</w:t>
      </w:r>
      <w:r>
        <w:rPr>
          <w:rFonts w:hint="eastAsia" w:ascii="宋体" w:hAnsi="宋体" w:eastAsia="宋体"/>
          <w:sz w:val="24"/>
          <w:szCs w:val="18"/>
          <w:highlight w:val="none"/>
        </w:rPr>
        <w:t>。未标注进口产品的货物均</w:t>
      </w:r>
      <w:r>
        <w:rPr>
          <w:rFonts w:ascii="宋体" w:hAnsi="宋体" w:eastAsia="宋体"/>
          <w:sz w:val="24"/>
          <w:szCs w:val="18"/>
          <w:highlight w:val="none"/>
        </w:rPr>
        <w:t>为拒绝采购进口产品</w:t>
      </w:r>
      <w:r>
        <w:rPr>
          <w:rFonts w:hint="eastAsia" w:ascii="宋体" w:hAnsi="宋体" w:eastAsia="宋体"/>
          <w:sz w:val="24"/>
          <w:szCs w:val="18"/>
          <w:highlight w:val="none"/>
        </w:rPr>
        <w:t>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2.下列采购需求中：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3.</w:t>
      </w:r>
      <w:r>
        <w:rPr>
          <w:rFonts w:ascii="宋体" w:hAnsi="宋体" w:eastAsia="宋体"/>
          <w:sz w:val="24"/>
          <w:szCs w:val="18"/>
          <w:highlight w:val="none"/>
        </w:rPr>
        <w:t>下列采购需求中：标注▲的产品</w:t>
      </w:r>
      <w:r>
        <w:rPr>
          <w:rFonts w:hint="eastAsia" w:ascii="宋体" w:hAnsi="宋体" w:eastAsia="宋体"/>
          <w:sz w:val="24"/>
          <w:szCs w:val="18"/>
          <w:highlight w:val="none"/>
        </w:rPr>
        <w:t>（核心产品）</w:t>
      </w:r>
      <w:r>
        <w:rPr>
          <w:rFonts w:ascii="宋体" w:hAnsi="宋体" w:eastAsia="宋体"/>
          <w:sz w:val="24"/>
          <w:szCs w:val="18"/>
          <w:highlight w:val="none"/>
        </w:rPr>
        <w:t>，投标</w:t>
      </w:r>
      <w:r>
        <w:rPr>
          <w:rFonts w:hint="eastAsia" w:ascii="宋体" w:hAnsi="宋体" w:eastAsia="宋体"/>
          <w:sz w:val="24"/>
          <w:szCs w:val="18"/>
          <w:highlight w:val="none"/>
        </w:rPr>
        <w:t>人</w:t>
      </w:r>
      <w:r>
        <w:rPr>
          <w:rFonts w:ascii="宋体" w:hAnsi="宋体" w:eastAsia="宋体"/>
          <w:sz w:val="24"/>
          <w:szCs w:val="18"/>
          <w:highlight w:val="none"/>
        </w:rPr>
        <w:t>在投标文件《主要</w:t>
      </w:r>
      <w:r>
        <w:rPr>
          <w:rFonts w:hint="eastAsia" w:ascii="宋体" w:hAnsi="宋体" w:eastAsia="宋体"/>
          <w:sz w:val="24"/>
          <w:szCs w:val="18"/>
          <w:highlight w:val="none"/>
        </w:rPr>
        <w:t>中标</w:t>
      </w:r>
      <w:r>
        <w:rPr>
          <w:rFonts w:ascii="宋体" w:hAnsi="宋体" w:eastAsia="宋体"/>
          <w:sz w:val="24"/>
          <w:szCs w:val="18"/>
          <w:highlight w:val="none"/>
        </w:rPr>
        <w:t>标的承诺函》中填写名称、</w:t>
      </w:r>
      <w:r>
        <w:rPr>
          <w:rFonts w:hint="eastAsia" w:ascii="宋体" w:hAnsi="宋体" w:eastAsia="宋体"/>
          <w:sz w:val="24"/>
          <w:szCs w:val="18"/>
          <w:highlight w:val="none"/>
        </w:rPr>
        <w:t>品牌、</w:t>
      </w:r>
      <w:r>
        <w:rPr>
          <w:rFonts w:ascii="宋体" w:hAnsi="宋体" w:eastAsia="宋体"/>
          <w:sz w:val="24"/>
          <w:szCs w:val="18"/>
          <w:highlight w:val="none"/>
        </w:rPr>
        <w:t>规格、型号、数量、单价等信息</w:t>
      </w:r>
      <w:r>
        <w:rPr>
          <w:rFonts w:hint="eastAsia" w:ascii="宋体" w:hAnsi="宋体" w:eastAsia="宋体"/>
          <w:sz w:val="24"/>
          <w:szCs w:val="18"/>
          <w:highlight w:val="none"/>
        </w:rPr>
        <w:t>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4.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18"/>
          <w:highlight w:val="none"/>
        </w:rPr>
        <w:t>如采购人允许采用分包方式履行合同的，应当明确可以分包履行的相关内容。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一、采购需求前附表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  <w:u w:val="none"/>
                <w:lang w:val="en-US" w:eastAsia="zh-CN"/>
              </w:rPr>
              <w:t>项目验收合格后一次性付清合同款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供货及安装地点</w:t>
            </w:r>
          </w:p>
        </w:tc>
        <w:tc>
          <w:tcPr>
            <w:tcW w:w="3217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境内，具体以招标人指定地点为准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供货及安装期限</w:t>
            </w:r>
          </w:p>
        </w:tc>
        <w:tc>
          <w:tcPr>
            <w:tcW w:w="3217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  <w:lang w:val="en-US" w:eastAsia="zh-CN"/>
              </w:rPr>
              <w:t>合同签订后30日历天完成供货、安装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质保期</w:t>
            </w:r>
          </w:p>
        </w:tc>
        <w:tc>
          <w:tcPr>
            <w:tcW w:w="3217" w:type="pct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  <w:lang w:val="en-US" w:eastAsia="zh-CN"/>
              </w:rPr>
              <w:t>验收合格后二年</w:t>
            </w:r>
          </w:p>
        </w:tc>
      </w:tr>
    </w:tbl>
    <w:p>
      <w:pPr>
        <w:spacing w:line="360" w:lineRule="auto"/>
        <w:ind w:firstLine="437"/>
        <w:outlineLvl w:val="1"/>
        <w:rPr>
          <w:rFonts w:hint="eastAsia" w:ascii="宋体" w:hAnsi="宋体" w:eastAsia="宋体"/>
          <w:b/>
          <w:bCs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18"/>
          <w:highlight w:val="none"/>
        </w:rPr>
        <w:t>二、货物需求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1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1、指标重要性描述</w:t>
      </w:r>
    </w:p>
    <w:tbl>
      <w:tblPr>
        <w:tblStyle w:val="12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417"/>
        <w:gridCol w:w="51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标识重要性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标识符号</w:t>
            </w:r>
          </w:p>
        </w:tc>
        <w:tc>
          <w:tcPr>
            <w:tcW w:w="515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符号说明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重要指标项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</w:p>
        </w:tc>
        <w:tc>
          <w:tcPr>
            <w:tcW w:w="5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作为评分项，按照评分细则进行评分。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5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无标识项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55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outlineLvl w:val="1"/>
              <w:rPr>
                <w:rFonts w:hint="eastAsia" w:eastAsia="宋体" w:cs="宋体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投标人须在投标文件中提供承诺，承诺无标识项完全满足（或优于）招标文件要求，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如项目验收时发现所提供的产品不满足招标文件要求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，投标人承担由此产生的一切后果及责任（承诺函格式详见投标文件格式）。投标文件中未提供相应承诺或承诺的内容不满足要求的，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投标无效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8526" w:type="dxa"/>
            <w:gridSpan w:val="3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注：如某项标识中包含多条技术参数或要求，则该项标识所含内容均需满足或优于</w:t>
            </w:r>
            <w:r>
              <w:rPr>
                <w:rFonts w:hint="eastAsia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要求，否则不予认可。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2、货物需求</w:t>
      </w:r>
    </w:p>
    <w:tbl>
      <w:tblPr>
        <w:tblStyle w:val="7"/>
        <w:tblW w:w="6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80"/>
        <w:gridCol w:w="6658"/>
        <w:gridCol w:w="104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标的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1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参数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数量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(单位)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1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会议桌（一）</w:t>
            </w:r>
          </w:p>
        </w:tc>
        <w:tc>
          <w:tcPr>
            <w:tcW w:w="31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尺寸：6800×1600×750mm(±5%)；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板材：采用E0级三聚氰胺饰面刨花板，台面厚度≥25mm，符合GB/T 15102-2017标准要求；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封边：PVC封边，厚度≥2mm，符合QB/T 4463-2013标准要求；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胶水：颗料热熔胶；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压铸铝合金八字脚，桌面配8个带模块桌面插座。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1张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会议桌（二）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尺寸：3600×1200×750mm(±5%)；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板材：采用E0级三聚氰胺饰面刨花板，台面厚度≥25mm，符合GB/T 15102-2017标准要求；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封边：PVC封边，厚度≥2mm，符合QB/T 4463-2013标准要求；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胶水：颗料热熔胶；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压铸铝合金八字脚，桌面配8个带模块桌面插座。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会议椅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尺寸：1130×650×590mm(±5%)；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优质西皮饰面，42密度高弹力海绵座底壳；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扶手支架为多层热压曲木板表面贴木皮（木板常规色为胡桃色和白亮光色)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封闭漆处理；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中班飞机底盘(可逍遥和原位锁定)；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三级65电镀拉深4分气杆；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锥形铝合金脚；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电镀PU静音轮。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92把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单人床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尺寸：2000×1350×1100mm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基材：白蜡木坂木结合；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榫卯工艺结构，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环保净味油漆，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VOC含量≤80g/L，苯系物总和含量、乙二醇醚及醚酯总和含量均未检出。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单人床垫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配套单人床，弹簧床垫，高档环保椰棕加圆簧床垫，厚度≥220mm。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上下铺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1. 尺寸：2000×1800×900mm(±5%)；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 材质：松木原木材质，无刺鼻味道。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132张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上下铺床垫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配套上下床，高档针织面料，高密度环保椰棕，厚度≥50mm。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264张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衣柜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板材：采用E0级三聚氰胺饰面刨花板，符合GB/T 15102-2017标准要求；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封边：PVC封边，厚度≥2mm，符合QB/T 4463-2013标准要求；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3. 胶水：颗料热熔胶；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4. 衣柜内含挂衣杆，优质五金配件；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 尺寸：2000×1000×500mm(±5%)。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278组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衣架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尺寸：1860×530×530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mm(±5%)；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整体实木橡木材质制作，榫卯工艺结构；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采用环保净味油漆，经uv工艺涂装而成，符合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GB18581-2020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标准要求。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24个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休闲桌椅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每组一桌两椅；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桌子尺寸：800×750×600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mm(±5%)，椅子尺寸：670×590×580mm(±5%)；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整体实木橡木材质制作，榫卯工艺结构，镂空处搭配涤沦编制工艺；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桌椅可堆叠设计，椅子符合人体工程学，桌脚外八字设计，稳固重心；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采用环保净味油漆，经uv工艺涂装而成，附着力≥1级；VOC含量≤80g/L，苯系物总和含量、乙二醇醚及醚酯总和含量均未检出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9组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写字桌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板材：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采用E0级三聚氰胺饰面刨花板，符合GB/T 15102-2017标准要求；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封边：PVC封边，厚度≥2mm，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符合QB/T 4463-2013标准要求；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3.胶水：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颗料热熔胶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4.尺寸：1200×750×500mm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写字椅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白蜡木框架，高密度海绵，优质超纤皮革，不锈钢脚套；采用环保净味油漆；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尺寸：790×575×455mm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108把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鞋架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尺寸：850×800×300mm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选用厚实的高山楠竹材质；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层板间距≥17cm；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结构稳定，多层置物，圆润边角设计，落地平稳支撑。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42个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脸盆架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尺寸：780×500×500mm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加厚304不锈钢材质，钢管壁厚≥0.8mm；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双增高设计，多层收纳坚固耐用，空间不限制。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42个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沙发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面料：优质麻绒面料；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海绵：高密度海绵；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内架：松木实木+弯曲木；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脚架：黑色金属脚；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尺寸：2110×840×790mm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条桌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尺寸：1800×750×400mm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面材为优质胡桃木，木皮厚度≥0.6mm，表面实木皮饰纹，木材含水率≤8%；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基材采用E0级中密度纤维板，纹理清晰自然，色泽一致，符合GB 18580-2017标准要求；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油漆：采用环保不饱和PE聚酯油漆，表面硬度不低于H级，木纹纹理清晰，无发白、流挂及明显划伤，色泽均匀。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66张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文件柜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板材：采用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0级三聚氰胺饰面刨花板，台面厚度≥25mm，符合GB/T 15102-2017标准要求；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2.封边：PVC封边，厚度≥2mm；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3.胶水：颗料热熔胶；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4.内置灯带，优质五金配件；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5.尺寸：3000×1670×400mm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2组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床头柜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1. 尺寸：500×400×400mm(±5%)；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2.环保健康，不含有害物质，不容易开裂，有较好的耐磨性，不易受损，稳定性好，防虫防腐，不易变形。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24个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茶水柜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尺寸：1200×850×400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mm(±5%)；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面材为优质胡桃木，木皮厚度≥0.6mm， 表面实木皮饰纹， 木材含水率≤8%；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基材采用E1级中密度板， 密度≥730Kg/m³；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游离甲醛释放量≤9mg/100g；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油漆：环保不饱和PE聚酯油漆，表面硬度不小于H级，木纹纹理清晰，无发白、流挂及明显划伤，色泽均匀。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21个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茶几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桌面：高密度中纤板贴木皮；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桌脚：铁烤漆；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尺寸：800×750mm(±5%)。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保密柜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mm(±5%)；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采用优质一级优质冷轧钢板，板材厚度≥1.2mm，表面经除油、去锈、磷化处理后静电喷塑，耐腐防锈，涂层光滑均匀，色泽一致，无流挂、疙瘩、皱皮、飞漆等缺陷，符合QB/T 3826-1999标准要求；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文件柜锁：为保密专用“国标锁'。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办公桌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板材：E0级三聚氰胺饰面刨花板；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封边：PVC封边，厚度≥2mm；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胶水：颗料热熔胶；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门子型钢架支撑，配固定柜；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尺寸：2400×800×750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mm(±5%)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办公椅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头枕：网布2D头枕，可上下升降，可前后旋转；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椅背：自适应弹力双背；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椅座：玻纤外框+定型棉；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底盘：5档锁定自负重底盘,带滑动功能；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扶手：玻纤扶手架+PU扶手面，3D扶手；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椅脚：340mm尼龙脚；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尺寸：950×585×580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mm(±5%)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4把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餐桌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直径2400mm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主材料采用实木橡木材质制作；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台面面板采用优质岩板制作，岩板下附有全实木框架，不锈钢金属包边；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底座采用优质超纤皮革，不锈钢包边；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转盘电动转可调速，遥控控制；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采用环保净味油漆，经uv工艺涂装而成，硬度≥2H；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环保指标不低于E1级标准，苯含量＜0.1%，游离二异氰酸酯（TDI、HDI）含量总和≤0.2% ，卤代烃含量≤0.01%。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1张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餐椅</w:t>
            </w:r>
          </w:p>
        </w:tc>
        <w:tc>
          <w:tcPr>
            <w:tcW w:w="31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尺寸：930×570×530mm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(±5%)；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整体主材采用白蜡木框架，高密度海绵，优质超纤皮革，不锈钢脚套；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采用环保净味油漆，经uv工艺涂装而成，硬度≥2H；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环保指标不低于E1级标准，苯含量＜0.1%，游离二异氰酸酯（TDI、HDI）含量总和≤0.2% ，卤代烃含量≤0.01%。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20把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</w:tr>
    </w:tbl>
    <w:p>
      <w:pPr>
        <w:spacing w:line="360" w:lineRule="auto"/>
        <w:ind w:firstLine="437"/>
        <w:outlineLvl w:val="1"/>
        <w:rPr>
          <w:rFonts w:ascii="宋体" w:hAnsi="宋体" w:eastAsia="宋体"/>
          <w:b/>
          <w:bCs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18"/>
          <w:highlight w:val="none"/>
        </w:rPr>
        <w:t>三、报价要求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本项目采用总价报价，投标人报价不得高于最高限价，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否则按投标无效处理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。报价包含完成本项目所有内容的费用，招标人后期不再追加任何费用，投标人报价时应综合考虑报价风险。</w:t>
      </w:r>
    </w:p>
    <w:p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  <w:lang w:val="en-US" w:eastAsia="zh-CN"/>
        </w:rPr>
        <w:t>四、验收要求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采购人验收时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，由采购人组织验收小组，验收小组应严格依照采购文件、采购合同及相关验收规范进行核对、验收，形成验收结论，并出具书面验收报告。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B9AAB"/>
    <w:multiLevelType w:val="singleLevel"/>
    <w:tmpl w:val="81DB9A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8116D88"/>
    <w:multiLevelType w:val="singleLevel"/>
    <w:tmpl w:val="88116D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1E7E4BA"/>
    <w:multiLevelType w:val="singleLevel"/>
    <w:tmpl w:val="A1E7E4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0345550"/>
    <w:multiLevelType w:val="singleLevel"/>
    <w:tmpl w:val="B034555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46CF265"/>
    <w:multiLevelType w:val="singleLevel"/>
    <w:tmpl w:val="B46CF2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B706C37"/>
    <w:multiLevelType w:val="singleLevel"/>
    <w:tmpl w:val="BB706C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E07F60C"/>
    <w:multiLevelType w:val="singleLevel"/>
    <w:tmpl w:val="CE07F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BF04BF9"/>
    <w:multiLevelType w:val="singleLevel"/>
    <w:tmpl w:val="DBF04B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4F487DC"/>
    <w:multiLevelType w:val="singleLevel"/>
    <w:tmpl w:val="E4F48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4287AEC"/>
    <w:multiLevelType w:val="singleLevel"/>
    <w:tmpl w:val="F4287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43264C7"/>
    <w:multiLevelType w:val="singleLevel"/>
    <w:tmpl w:val="043264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971AFA5"/>
    <w:multiLevelType w:val="singleLevel"/>
    <w:tmpl w:val="2971AF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B683873"/>
    <w:multiLevelType w:val="singleLevel"/>
    <w:tmpl w:val="2B683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67A9D93"/>
    <w:multiLevelType w:val="singleLevel"/>
    <w:tmpl w:val="367A9D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8A9AA27"/>
    <w:multiLevelType w:val="singleLevel"/>
    <w:tmpl w:val="48A9A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6FB76EA"/>
    <w:multiLevelType w:val="singleLevel"/>
    <w:tmpl w:val="56FB76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FBC0AD2"/>
    <w:multiLevelType w:val="singleLevel"/>
    <w:tmpl w:val="5FBC0A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719F984"/>
    <w:multiLevelType w:val="singleLevel"/>
    <w:tmpl w:val="7719F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596648D4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6648D4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rFonts w:asciiTheme="minorHAnsi" w:hAnsiTheme="minorHAnsi"/>
      <w:kern w:val="2"/>
      <w:sz w:val="21"/>
      <w:szCs w:val="22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left="0" w:leftChars="0" w:firstLine="210"/>
    </w:p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&amp;L"/>
    <w:basedOn w:val="4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10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2025-06-20T07:02:00Z</dcterms:created>
  <dc:creator>丁吉</dc:creator>
  <cp:lastModifiedBy>丁吉</cp:lastModifiedBy>
  <dcterms:modified xsi:type="dcterms:W3CDTF">2025-06-20T07:03:15Z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7F15554ED62C4BB1A71371F58E5E26F2_11</vt:lpwstr>
  </property>
</Properties>
</file>