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B17DD">
      <w:pPr>
        <w:spacing w:line="360" w:lineRule="auto"/>
        <w:jc w:val="center"/>
        <w:outlineLvl w:val="0"/>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采购需求</w:t>
      </w:r>
    </w:p>
    <w:p w14:paraId="5F80B324">
      <w:pPr>
        <w:spacing w:line="360" w:lineRule="auto"/>
        <w:jc w:val="center"/>
        <w:outlineLvl w:val="0"/>
        <w:rPr>
          <w:rFonts w:hint="eastAsia" w:ascii="宋体" w:hAnsi="宋体" w:eastAsia="宋体"/>
          <w:b/>
          <w:sz w:val="28"/>
        </w:rPr>
      </w:pPr>
      <w:r>
        <w:rPr>
          <w:rFonts w:hint="eastAsia" w:ascii="宋体" w:hAnsi="宋体" w:eastAsia="宋体"/>
          <w:b/>
          <w:sz w:val="28"/>
          <w:highlight w:val="none"/>
          <w:lang w:eastAsia="zh-CN"/>
        </w:rPr>
        <w:t>（</w:t>
      </w:r>
      <w:r>
        <w:rPr>
          <w:rFonts w:hint="eastAsia" w:ascii="宋体" w:hAnsi="宋体" w:eastAsia="宋体"/>
          <w:b/>
          <w:sz w:val="28"/>
          <w:highlight w:val="none"/>
          <w:lang w:val="en-US" w:eastAsia="zh-CN"/>
        </w:rPr>
        <w:t>仅供参考、以采购文件为准</w:t>
      </w:r>
      <w:r>
        <w:rPr>
          <w:rFonts w:hint="eastAsia" w:ascii="宋体" w:hAnsi="宋体" w:eastAsia="宋体"/>
          <w:b/>
          <w:sz w:val="28"/>
          <w:highlight w:val="none"/>
          <w:lang w:eastAsia="zh-CN"/>
        </w:rPr>
        <w:t>）</w:t>
      </w:r>
    </w:p>
    <w:p w14:paraId="4A03CEBC">
      <w:pPr>
        <w:spacing w:line="360" w:lineRule="auto"/>
        <w:jc w:val="both"/>
        <w:outlineLvl w:val="0"/>
        <w:rPr>
          <w:rFonts w:asciiTheme="minorEastAsia" w:hAnsiTheme="minorEastAsia" w:eastAsiaTheme="minorEastAsia"/>
          <w:b/>
          <w:color w:val="auto"/>
          <w:sz w:val="24"/>
          <w:highlight w:val="none"/>
        </w:rPr>
      </w:pPr>
      <w:bookmarkStart w:id="0" w:name="_GoBack"/>
      <w:bookmarkEnd w:id="0"/>
      <w:r>
        <w:rPr>
          <w:rFonts w:hint="eastAsia" w:asciiTheme="minorEastAsia" w:hAnsiTheme="minorEastAsia" w:eastAsiaTheme="minorEastAsia"/>
          <w:b/>
          <w:color w:val="auto"/>
          <w:sz w:val="24"/>
          <w:highlight w:val="none"/>
        </w:rPr>
        <w:t>前注：</w:t>
      </w:r>
    </w:p>
    <w:p w14:paraId="68694E02">
      <w:pPr>
        <w:spacing w:line="36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ascii="宋体" w:hAnsi="宋体" w:eastAsia="宋体" w:cs="宋体"/>
          <w:color w:val="auto"/>
          <w:sz w:val="24"/>
          <w:szCs w:val="24"/>
          <w:highlight w:val="none"/>
        </w:rPr>
        <w:t>本采购需求中提出的服务方案仅为参考，如无明确限制，</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可以进行优化，提供满足采购人实际需要的更优（或者性能实质上不低于的）服务方案，且此方案须经</w:t>
      </w:r>
      <w:r>
        <w:rPr>
          <w:rFonts w:hint="eastAsia" w:ascii="宋体" w:hAnsi="宋体" w:eastAsia="宋体" w:cs="宋体"/>
          <w:color w:val="auto"/>
          <w:sz w:val="24"/>
          <w:szCs w:val="24"/>
          <w:highlight w:val="none"/>
          <w:lang w:val="en-US" w:eastAsia="zh-CN"/>
        </w:rPr>
        <w:t>磋商小组</w:t>
      </w:r>
      <w:r>
        <w:rPr>
          <w:rFonts w:ascii="宋体" w:hAnsi="宋体" w:eastAsia="宋体" w:cs="宋体"/>
          <w:color w:val="auto"/>
          <w:sz w:val="24"/>
          <w:szCs w:val="24"/>
          <w:highlight w:val="none"/>
        </w:rPr>
        <w:t>评审认可</w:t>
      </w:r>
      <w:r>
        <w:rPr>
          <w:rFonts w:hint="eastAsia" w:ascii="宋体" w:hAnsi="宋体" w:eastAsia="宋体" w:cs="宋体"/>
          <w:color w:val="auto"/>
          <w:sz w:val="24"/>
          <w:szCs w:val="24"/>
          <w:highlight w:val="none"/>
        </w:rPr>
        <w:t>。</w:t>
      </w:r>
    </w:p>
    <w:p w14:paraId="35F05D46">
      <w:pPr>
        <w:spacing w:line="36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2.下列采购需求中：</w:t>
      </w:r>
    </w:p>
    <w:p w14:paraId="768E8815">
      <w:pPr>
        <w:spacing w:line="36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（1）如属于《节能产品政府采购品目清单》中政府强制采购的节能产品，则</w:t>
      </w:r>
      <w:r>
        <w:rPr>
          <w:rFonts w:hint="eastAsia" w:ascii="宋体" w:hAnsi="宋体" w:eastAsia="宋体" w:cs="宋体"/>
          <w:color w:val="auto"/>
          <w:sz w:val="24"/>
          <w:szCs w:val="24"/>
          <w:highlight w:val="none"/>
        </w:rPr>
        <w:t>供应商</w:t>
      </w:r>
      <w:r>
        <w:rPr>
          <w:rFonts w:ascii="宋体" w:hAnsi="宋体" w:eastAsia="宋体" w:cs="宋体"/>
          <w:color w:val="auto"/>
          <w:sz w:val="24"/>
          <w:szCs w:val="24"/>
          <w:highlight w:val="none"/>
        </w:rPr>
        <w:t>所投产品须具有市场监管总局公布的《参与实施政府采购节能产品认证机构目录》中的认证机构出具的、处于有效期内的节能产品认证证书。</w:t>
      </w:r>
      <w:r>
        <w:rPr>
          <w:rFonts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（2）如涉及商品包装和快递包装，</w:t>
      </w:r>
      <w:r>
        <w:rPr>
          <w:rFonts w:hint="eastAsia" w:ascii="宋体" w:hAnsi="宋体" w:eastAsia="宋体" w:cs="宋体"/>
          <w:color w:val="auto"/>
          <w:sz w:val="24"/>
          <w:szCs w:val="24"/>
          <w:highlight w:val="none"/>
        </w:rPr>
        <w:t>供应商</w:t>
      </w:r>
      <w:r>
        <w:rPr>
          <w:rFonts w:ascii="宋体" w:hAnsi="宋体" w:eastAsia="宋体" w:cs="宋体"/>
          <w:color w:val="auto"/>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11F8FDA1">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3.</w:t>
      </w:r>
      <w:r>
        <w:rPr>
          <w:rFonts w:hint="eastAsia"/>
          <w:color w:val="auto"/>
          <w:highlight w:val="none"/>
        </w:rPr>
        <w:t xml:space="preserve"> </w:t>
      </w:r>
      <w:r>
        <w:rPr>
          <w:rFonts w:hint="eastAsia" w:ascii="宋体" w:hAnsi="宋体" w:eastAsia="宋体"/>
          <w:color w:val="auto"/>
          <w:sz w:val="24"/>
          <w:szCs w:val="18"/>
          <w:highlight w:val="none"/>
        </w:rPr>
        <w:t>如采购人允许采用分包方式履行合同的，应当明确可以分包履行的相关内容。</w:t>
      </w:r>
    </w:p>
    <w:p w14:paraId="1F50D0CC">
      <w:pP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一、采购需求前附表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3B73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BAFCB35">
            <w:pPr>
              <w:pStyle w:val="9"/>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92" w:type="pct"/>
            <w:vAlign w:val="center"/>
          </w:tcPr>
          <w:p w14:paraId="358F5085">
            <w:pPr>
              <w:pStyle w:val="10"/>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07B53E18">
            <w:pPr>
              <w:pStyle w:val="10"/>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52F3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E3D0D8A">
            <w:pPr>
              <w:pStyle w:val="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11D65D55">
            <w:pPr>
              <w:pStyle w:val="1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34A7DF33">
            <w:pPr>
              <w:pStyle w:val="10"/>
              <w:widowControl w:val="0"/>
              <w:spacing w:before="0" w:beforeAutospacing="0" w:after="0" w:afterAutospacing="0" w:line="360" w:lineRule="auto"/>
              <w:jc w:val="both"/>
              <w:rPr>
                <w:rFonts w:hint="default" w:ascii="宋体" w:hAnsi="宋体" w:eastAsia="宋体"/>
                <w:b w:val="0"/>
                <w:color w:val="auto"/>
                <w:sz w:val="24"/>
                <w:highlight w:val="none"/>
                <w:u w:val="single"/>
                <w:lang w:val="en-US" w:eastAsia="zh-CN"/>
              </w:rPr>
            </w:pPr>
            <w:r>
              <w:rPr>
                <w:rFonts w:hint="eastAsia" w:ascii="宋体" w:hAnsi="宋体" w:eastAsia="宋体" w:cs="宋体"/>
                <w:b w:val="0"/>
                <w:color w:val="auto"/>
                <w:sz w:val="24"/>
                <w:szCs w:val="24"/>
                <w:highlight w:val="none"/>
                <w:lang w:val="en-US" w:eastAsia="zh-CN"/>
              </w:rPr>
              <w:t>按月支付，每月支付年度合同款的1/12。</w:t>
            </w:r>
          </w:p>
        </w:tc>
      </w:tr>
      <w:tr w14:paraId="0F6A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28F781B">
            <w:pPr>
              <w:pStyle w:val="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7CE9F33C">
            <w:pPr>
              <w:pStyle w:val="1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3217" w:type="pct"/>
            <w:vAlign w:val="center"/>
          </w:tcPr>
          <w:p w14:paraId="0C3F7C52">
            <w:pPr>
              <w:pStyle w:val="1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cs="宋体"/>
                <w:b w:val="0"/>
                <w:color w:val="auto"/>
                <w:sz w:val="24"/>
                <w:szCs w:val="24"/>
                <w:highlight w:val="none"/>
              </w:rPr>
              <w:t>肥东县</w:t>
            </w:r>
            <w:r>
              <w:rPr>
                <w:rFonts w:hint="eastAsia" w:ascii="宋体" w:hAnsi="宋体" w:eastAsia="宋体" w:cs="宋体"/>
                <w:b w:val="0"/>
                <w:color w:val="auto"/>
                <w:sz w:val="24"/>
                <w:szCs w:val="24"/>
                <w:highlight w:val="none"/>
                <w:lang w:val="en-US" w:eastAsia="zh-CN"/>
              </w:rPr>
              <w:t>境内，具体以采购人指定地点为准</w:t>
            </w:r>
          </w:p>
        </w:tc>
      </w:tr>
      <w:tr w14:paraId="20AB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A9E9D6C">
            <w:pPr>
              <w:pStyle w:val="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05F312A8">
            <w:pPr>
              <w:pStyle w:val="1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服务期限</w:t>
            </w:r>
          </w:p>
        </w:tc>
        <w:tc>
          <w:tcPr>
            <w:tcW w:w="3217" w:type="pct"/>
            <w:vAlign w:val="center"/>
          </w:tcPr>
          <w:p w14:paraId="538FE2D6">
            <w:pPr>
              <w:pStyle w:val="1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cs="宋体"/>
                <w:b w:val="0"/>
                <w:color w:val="auto"/>
                <w:sz w:val="24"/>
                <w:szCs w:val="24"/>
                <w:highlight w:val="none"/>
              </w:rPr>
              <w:t>首次服务期限为一年，</w:t>
            </w:r>
            <w:r>
              <w:rPr>
                <w:rFonts w:hint="eastAsia" w:ascii="宋体" w:hAnsi="宋体" w:eastAsia="宋体" w:cs="宋体"/>
                <w:b w:val="0"/>
                <w:color w:val="auto"/>
                <w:sz w:val="24"/>
                <w:szCs w:val="24"/>
                <w:highlight w:val="none"/>
                <w:lang w:val="en-US" w:eastAsia="zh-CN"/>
              </w:rPr>
              <w:t>本项目</w:t>
            </w:r>
            <w:r>
              <w:rPr>
                <w:rFonts w:hint="eastAsia" w:ascii="宋体" w:hAnsi="宋体" w:eastAsia="宋体" w:cs="宋体"/>
                <w:b w:val="0"/>
                <w:color w:val="auto"/>
                <w:sz w:val="24"/>
                <w:szCs w:val="24"/>
                <w:highlight w:val="none"/>
              </w:rPr>
              <w:t>可续签合同</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续签不得超过</w:t>
            </w:r>
            <w:r>
              <w:rPr>
                <w:rFonts w:hint="eastAsia" w:ascii="宋体" w:hAnsi="宋体" w:eastAsia="宋体" w:cs="宋体"/>
                <w:b w:val="0"/>
                <w:color w:val="auto"/>
                <w:sz w:val="24"/>
                <w:szCs w:val="24"/>
                <w:highlight w:val="none"/>
                <w:lang w:val="en-US" w:eastAsia="zh-CN"/>
              </w:rPr>
              <w:t>一次</w:t>
            </w:r>
            <w:r>
              <w:rPr>
                <w:rFonts w:hint="eastAsia" w:ascii="宋体" w:hAnsi="宋体" w:eastAsia="宋体" w:cs="宋体"/>
                <w:b w:val="0"/>
                <w:color w:val="auto"/>
                <w:sz w:val="24"/>
                <w:szCs w:val="24"/>
                <w:highlight w:val="none"/>
              </w:rPr>
              <w:t>，总服务期限不超过</w:t>
            </w:r>
            <w:r>
              <w:rPr>
                <w:rFonts w:hint="eastAsia" w:ascii="宋体" w:hAnsi="宋体" w:eastAsia="宋体" w:cs="宋体"/>
                <w:b w:val="0"/>
                <w:color w:val="auto"/>
                <w:sz w:val="24"/>
                <w:szCs w:val="24"/>
                <w:highlight w:val="none"/>
                <w:lang w:val="en-US" w:eastAsia="zh-CN"/>
              </w:rPr>
              <w:t>二</w:t>
            </w:r>
            <w:r>
              <w:rPr>
                <w:rFonts w:hint="eastAsia" w:ascii="宋体" w:hAnsi="宋体" w:eastAsia="宋体" w:cs="宋体"/>
                <w:b w:val="0"/>
                <w:color w:val="auto"/>
                <w:sz w:val="24"/>
                <w:szCs w:val="24"/>
                <w:highlight w:val="none"/>
              </w:rPr>
              <w:t>年（合同一年一签）。</w:t>
            </w:r>
          </w:p>
        </w:tc>
      </w:tr>
      <w:tr w14:paraId="600B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3B95609">
            <w:pPr>
              <w:pStyle w:val="9"/>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lang w:val="en-US" w:eastAsia="zh-CN"/>
              </w:rPr>
              <w:t>4</w:t>
            </w:r>
          </w:p>
        </w:tc>
        <w:tc>
          <w:tcPr>
            <w:tcW w:w="1192" w:type="pct"/>
            <w:vAlign w:val="center"/>
          </w:tcPr>
          <w:p w14:paraId="7F3191EE">
            <w:pPr>
              <w:pStyle w:val="1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本项目采购标的名称及所属行业</w:t>
            </w:r>
          </w:p>
        </w:tc>
        <w:tc>
          <w:tcPr>
            <w:tcW w:w="3217" w:type="pct"/>
            <w:vAlign w:val="center"/>
          </w:tcPr>
          <w:p w14:paraId="661DE5BD">
            <w:pPr>
              <w:spacing w:line="360" w:lineRule="auto"/>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标的名称：</w:t>
            </w:r>
            <w:r>
              <w:rPr>
                <w:rFonts w:hint="eastAsia" w:asciiTheme="minorEastAsia" w:hAnsiTheme="minorEastAsia" w:eastAsiaTheme="minorEastAsia"/>
                <w:color w:val="auto"/>
                <w:sz w:val="24"/>
                <w:highlight w:val="none"/>
                <w:lang w:eastAsia="zh-CN"/>
              </w:rPr>
              <w:t>2025年肥东六中物业管理服务</w:t>
            </w:r>
          </w:p>
          <w:p w14:paraId="15E63AA4">
            <w:pPr>
              <w:rPr>
                <w:rFonts w:hint="eastAsia" w:ascii="宋体" w:hAnsi="宋体"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所属行业：</w:t>
            </w:r>
            <w:r>
              <w:rPr>
                <w:rFonts w:hint="eastAsia" w:asciiTheme="minorEastAsia" w:hAnsiTheme="minorEastAsia" w:eastAsiaTheme="minorEastAsia"/>
                <w:color w:val="auto"/>
                <w:sz w:val="24"/>
                <w:highlight w:val="none"/>
                <w:lang w:val="en-US" w:eastAsia="zh-CN"/>
              </w:rPr>
              <w:t>物业管理</w:t>
            </w:r>
          </w:p>
        </w:tc>
      </w:tr>
    </w:tbl>
    <w:p w14:paraId="5A2CC7D0">
      <w:pPr>
        <w:keepNext w:val="0"/>
        <w:keepLines w:val="0"/>
        <w:pageBreakBefore w:val="0"/>
        <w:wordWrap/>
        <w:overflowPunct/>
        <w:topLinePunct w:val="0"/>
        <w:bidi w:val="0"/>
        <w:spacing w:line="360" w:lineRule="auto"/>
        <w:ind w:left="0" w:right="0"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二、项目概况</w:t>
      </w:r>
    </w:p>
    <w:p w14:paraId="3DA9D419">
      <w:pPr>
        <w:keepNext w:val="0"/>
        <w:keepLines w:val="0"/>
        <w:pageBreakBefore w:val="0"/>
        <w:wordWrap/>
        <w:overflowPunct/>
        <w:topLinePunct w:val="0"/>
        <w:bidi w:val="0"/>
        <w:spacing w:line="360" w:lineRule="auto"/>
        <w:ind w:left="0" w:right="0" w:firstLine="464" w:firstLineChars="200"/>
        <w:rPr>
          <w:rFonts w:hint="eastAsia" w:ascii="宋体" w:hAnsi="宋体" w:eastAsia="宋体" w:cs="宋体"/>
          <w:b/>
          <w:color w:val="auto"/>
          <w:sz w:val="24"/>
          <w:szCs w:val="24"/>
          <w:highlight w:val="none"/>
        </w:rPr>
      </w:pPr>
      <w:r>
        <w:rPr>
          <w:rFonts w:hint="eastAsia" w:ascii="宋体" w:hAnsi="宋体" w:eastAsia="宋体" w:cs="宋体"/>
          <w:color w:val="auto"/>
          <w:spacing w:val="-4"/>
          <w:sz w:val="24"/>
          <w:szCs w:val="24"/>
          <w:highlight w:val="none"/>
        </w:rPr>
        <w:t>肥东</w:t>
      </w:r>
      <w:r>
        <w:rPr>
          <w:rFonts w:hint="eastAsia" w:ascii="宋体" w:hAnsi="宋体" w:eastAsia="宋体" w:cs="宋体"/>
          <w:color w:val="auto"/>
          <w:spacing w:val="-4"/>
          <w:sz w:val="24"/>
          <w:szCs w:val="24"/>
          <w:highlight w:val="none"/>
          <w:lang w:val="en-US" w:eastAsia="zh-CN"/>
        </w:rPr>
        <w:t>六</w:t>
      </w:r>
      <w:r>
        <w:rPr>
          <w:rFonts w:hint="eastAsia" w:ascii="宋体" w:hAnsi="宋体" w:eastAsia="宋体" w:cs="宋体"/>
          <w:color w:val="auto"/>
          <w:spacing w:val="-4"/>
          <w:sz w:val="24"/>
          <w:szCs w:val="24"/>
          <w:highlight w:val="none"/>
        </w:rPr>
        <w:t>中位于肥东</w:t>
      </w:r>
      <w:r>
        <w:rPr>
          <w:rFonts w:hint="eastAsia" w:ascii="宋体" w:hAnsi="宋体" w:eastAsia="宋体" w:cs="宋体"/>
          <w:color w:val="auto"/>
          <w:spacing w:val="-4"/>
          <w:sz w:val="24"/>
          <w:szCs w:val="24"/>
          <w:highlight w:val="none"/>
          <w:lang w:val="en-US" w:eastAsia="zh-CN"/>
        </w:rPr>
        <w:t>店埠镇</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桂王路与沙河路交口，分为中学部和小学部2个校区，规划用地91642</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建筑面积约55093</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按照使用功能分为教学、教辅、行政管理、生活服务、体育运动五个区，计1</w:t>
      </w:r>
      <w:r>
        <w:rPr>
          <w:rFonts w:hint="eastAsia" w:ascii="宋体" w:hAnsi="宋体" w:eastAsia="宋体" w:cs="宋体"/>
          <w:color w:val="auto"/>
          <w:spacing w:val="-4"/>
          <w:sz w:val="24"/>
          <w:szCs w:val="24"/>
          <w:highlight w:val="none"/>
          <w:lang w:val="en-US" w:eastAsia="zh-CN"/>
        </w:rPr>
        <w:t>6</w:t>
      </w:r>
      <w:r>
        <w:rPr>
          <w:rFonts w:hint="eastAsia" w:ascii="宋体" w:hAnsi="宋体" w:eastAsia="宋体" w:cs="宋体"/>
          <w:color w:val="auto"/>
          <w:spacing w:val="-4"/>
          <w:sz w:val="24"/>
          <w:szCs w:val="24"/>
          <w:highlight w:val="none"/>
        </w:rPr>
        <w:t>个组合单体工程项目</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包括</w:t>
      </w:r>
      <w:r>
        <w:rPr>
          <w:rFonts w:hint="eastAsia" w:ascii="宋体" w:hAnsi="宋体" w:eastAsia="宋体" w:cs="宋体"/>
          <w:color w:val="auto"/>
          <w:spacing w:val="-4"/>
          <w:sz w:val="24"/>
          <w:szCs w:val="24"/>
          <w:highlight w:val="none"/>
        </w:rPr>
        <w:t>综合行政楼</w:t>
      </w: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幢、实验楼</w:t>
      </w: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幢、教学楼</w:t>
      </w:r>
      <w:r>
        <w:rPr>
          <w:rFonts w:hint="eastAsia" w:ascii="宋体" w:hAnsi="宋体" w:eastAsia="宋体" w:cs="宋体"/>
          <w:color w:val="auto"/>
          <w:spacing w:val="-4"/>
          <w:sz w:val="24"/>
          <w:szCs w:val="24"/>
          <w:highlight w:val="none"/>
          <w:lang w:val="en-US" w:eastAsia="zh-CN"/>
        </w:rPr>
        <w:t>7</w:t>
      </w:r>
      <w:r>
        <w:rPr>
          <w:rFonts w:hint="eastAsia" w:ascii="宋体" w:hAnsi="宋体" w:eastAsia="宋体" w:cs="宋体"/>
          <w:color w:val="auto"/>
          <w:spacing w:val="-4"/>
          <w:sz w:val="24"/>
          <w:szCs w:val="24"/>
          <w:highlight w:val="none"/>
        </w:rPr>
        <w:t>幢、</w:t>
      </w:r>
      <w:r>
        <w:rPr>
          <w:rFonts w:hint="eastAsia" w:ascii="宋体" w:hAnsi="宋体" w:eastAsia="宋体" w:cs="宋体"/>
          <w:color w:val="auto"/>
          <w:spacing w:val="-4"/>
          <w:sz w:val="24"/>
          <w:szCs w:val="24"/>
          <w:highlight w:val="none"/>
          <w:lang w:val="en-US" w:eastAsia="zh-CN"/>
        </w:rPr>
        <w:t>室内体育馆1</w:t>
      </w:r>
      <w:r>
        <w:rPr>
          <w:rFonts w:hint="eastAsia" w:ascii="宋体" w:hAnsi="宋体" w:eastAsia="宋体" w:cs="宋体"/>
          <w:color w:val="auto"/>
          <w:spacing w:val="-4"/>
          <w:sz w:val="24"/>
          <w:szCs w:val="24"/>
          <w:highlight w:val="none"/>
        </w:rPr>
        <w:t>幢、</w:t>
      </w:r>
      <w:r>
        <w:rPr>
          <w:rFonts w:hint="eastAsia" w:ascii="宋体" w:hAnsi="宋体" w:eastAsia="宋体" w:cs="宋体"/>
          <w:color w:val="auto"/>
          <w:spacing w:val="-4"/>
          <w:sz w:val="24"/>
          <w:szCs w:val="24"/>
          <w:highlight w:val="none"/>
          <w:lang w:val="en-US" w:eastAsia="zh-CN"/>
        </w:rPr>
        <w:t>学生餐厅1</w:t>
      </w:r>
      <w:r>
        <w:rPr>
          <w:rFonts w:hint="eastAsia" w:ascii="宋体" w:hAnsi="宋体" w:eastAsia="宋体" w:cs="宋体"/>
          <w:color w:val="auto"/>
          <w:spacing w:val="-4"/>
          <w:sz w:val="24"/>
          <w:szCs w:val="24"/>
          <w:highlight w:val="none"/>
        </w:rPr>
        <w:t>幢、</w:t>
      </w:r>
      <w:r>
        <w:rPr>
          <w:rFonts w:hint="eastAsia" w:ascii="宋体" w:hAnsi="宋体" w:eastAsia="宋体" w:cs="宋体"/>
          <w:color w:val="auto"/>
          <w:spacing w:val="-4"/>
          <w:sz w:val="24"/>
          <w:szCs w:val="24"/>
          <w:highlight w:val="none"/>
          <w:lang w:val="en-US" w:eastAsia="zh-CN"/>
        </w:rPr>
        <w:t>报告厅1幢、</w:t>
      </w:r>
      <w:r>
        <w:rPr>
          <w:rFonts w:hint="eastAsia" w:ascii="宋体" w:hAnsi="宋体" w:eastAsia="宋体" w:cs="宋体"/>
          <w:color w:val="auto"/>
          <w:spacing w:val="-4"/>
          <w:sz w:val="24"/>
          <w:szCs w:val="24"/>
          <w:highlight w:val="none"/>
        </w:rPr>
        <w:t>学生公寓楼六层</w:t>
      </w:r>
      <w:r>
        <w:rPr>
          <w:rFonts w:hint="eastAsia" w:ascii="宋体" w:hAnsi="宋体" w:eastAsia="宋体"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rPr>
        <w:t>幢、</w:t>
      </w:r>
      <w:r>
        <w:rPr>
          <w:rFonts w:hint="eastAsia" w:ascii="宋体" w:hAnsi="宋体" w:eastAsia="宋体" w:cs="宋体"/>
          <w:color w:val="auto"/>
          <w:spacing w:val="-4"/>
          <w:sz w:val="24"/>
          <w:szCs w:val="24"/>
          <w:highlight w:val="none"/>
          <w:lang w:val="en-US" w:eastAsia="zh-CN"/>
        </w:rPr>
        <w:t>创新基地1幢、</w:t>
      </w:r>
      <w:r>
        <w:rPr>
          <w:rFonts w:hint="eastAsia" w:ascii="宋体" w:hAnsi="宋体" w:eastAsia="宋体" w:cs="宋体"/>
          <w:color w:val="auto"/>
          <w:spacing w:val="-4"/>
          <w:sz w:val="24"/>
          <w:szCs w:val="24"/>
          <w:highlight w:val="none"/>
        </w:rPr>
        <w:t>体育场看台等。学校办学规模9</w:t>
      </w:r>
      <w:r>
        <w:rPr>
          <w:rFonts w:hint="eastAsia" w:ascii="宋体" w:hAnsi="宋体" w:eastAsia="宋体" w:cs="宋体"/>
          <w:color w:val="auto"/>
          <w:spacing w:val="-4"/>
          <w:sz w:val="24"/>
          <w:szCs w:val="24"/>
          <w:highlight w:val="none"/>
          <w:lang w:val="en-US" w:eastAsia="zh-CN"/>
        </w:rPr>
        <w:t>9</w:t>
      </w:r>
      <w:r>
        <w:rPr>
          <w:rFonts w:hint="eastAsia" w:ascii="宋体" w:hAnsi="宋体" w:eastAsia="宋体" w:cs="宋体"/>
          <w:color w:val="auto"/>
          <w:spacing w:val="-4"/>
          <w:sz w:val="24"/>
          <w:szCs w:val="24"/>
          <w:highlight w:val="none"/>
        </w:rPr>
        <w:t>个教学班，在校生</w:t>
      </w:r>
      <w:r>
        <w:rPr>
          <w:rFonts w:hint="eastAsia" w:ascii="宋体" w:hAnsi="宋体" w:eastAsia="宋体" w:cs="宋体"/>
          <w:color w:val="auto"/>
          <w:spacing w:val="-4"/>
          <w:sz w:val="24"/>
          <w:szCs w:val="24"/>
          <w:highlight w:val="none"/>
          <w:lang w:val="en-US" w:eastAsia="zh-CN"/>
        </w:rPr>
        <w:t>5200</w:t>
      </w:r>
      <w:r>
        <w:rPr>
          <w:rFonts w:hint="eastAsia" w:ascii="宋体" w:hAnsi="宋体" w:eastAsia="宋体" w:cs="宋体"/>
          <w:color w:val="auto"/>
          <w:spacing w:val="-4"/>
          <w:sz w:val="24"/>
          <w:szCs w:val="24"/>
          <w:highlight w:val="none"/>
        </w:rPr>
        <w:t>多人，实行寄宿式管理，另有教职工约</w:t>
      </w:r>
      <w:r>
        <w:rPr>
          <w:rFonts w:hint="eastAsia" w:ascii="宋体" w:hAnsi="宋体" w:eastAsia="宋体" w:cs="宋体"/>
          <w:color w:val="auto"/>
          <w:spacing w:val="-4"/>
          <w:sz w:val="24"/>
          <w:szCs w:val="24"/>
          <w:highlight w:val="none"/>
          <w:lang w:val="en-US" w:eastAsia="zh-CN"/>
        </w:rPr>
        <w:t>32</w:t>
      </w:r>
      <w:r>
        <w:rPr>
          <w:rFonts w:hint="eastAsia" w:ascii="宋体" w:hAnsi="宋体" w:eastAsia="宋体" w:cs="宋体"/>
          <w:color w:val="auto"/>
          <w:spacing w:val="-4"/>
          <w:sz w:val="24"/>
          <w:szCs w:val="24"/>
          <w:highlight w:val="none"/>
        </w:rPr>
        <w:t>0人，寄宿生管理人员</w:t>
      </w:r>
      <w:r>
        <w:rPr>
          <w:rFonts w:hint="eastAsia" w:ascii="宋体" w:hAnsi="宋体" w:eastAsia="宋体" w:cs="宋体"/>
          <w:color w:val="auto"/>
          <w:spacing w:val="-4"/>
          <w:sz w:val="24"/>
          <w:szCs w:val="24"/>
          <w:highlight w:val="none"/>
          <w:lang w:val="en-US" w:eastAsia="zh-CN"/>
        </w:rPr>
        <w:t>8</w:t>
      </w:r>
      <w:r>
        <w:rPr>
          <w:rFonts w:hint="eastAsia" w:ascii="宋体" w:hAnsi="宋体" w:eastAsia="宋体" w:cs="宋体"/>
          <w:color w:val="auto"/>
          <w:spacing w:val="-4"/>
          <w:sz w:val="24"/>
          <w:szCs w:val="24"/>
          <w:highlight w:val="none"/>
        </w:rPr>
        <w:t>人，日在校人员约5</w:t>
      </w:r>
      <w:r>
        <w:rPr>
          <w:rFonts w:hint="eastAsia" w:ascii="宋体" w:hAnsi="宋体" w:eastAsia="宋体" w:cs="宋体"/>
          <w:color w:val="auto"/>
          <w:spacing w:val="-4"/>
          <w:sz w:val="24"/>
          <w:szCs w:val="24"/>
          <w:highlight w:val="none"/>
          <w:lang w:val="en-US" w:eastAsia="zh-CN"/>
        </w:rPr>
        <w:t>600</w:t>
      </w:r>
      <w:r>
        <w:rPr>
          <w:rFonts w:hint="eastAsia" w:ascii="宋体" w:hAnsi="宋体" w:eastAsia="宋体" w:cs="宋体"/>
          <w:color w:val="auto"/>
          <w:spacing w:val="-4"/>
          <w:sz w:val="24"/>
          <w:szCs w:val="24"/>
          <w:highlight w:val="none"/>
        </w:rPr>
        <w:t>人。校园有停车场、地下自行车库、盥洗室、校园广场、校园文化宣传橱窗、水电管网、校园绿化等相关教育教学和生活设施。</w:t>
      </w:r>
    </w:p>
    <w:p w14:paraId="743E8E24">
      <w:pPr>
        <w:keepNext w:val="0"/>
        <w:keepLines w:val="0"/>
        <w:pageBreakBefore w:val="0"/>
        <w:wordWrap/>
        <w:overflowPunct/>
        <w:topLinePunct w:val="0"/>
        <w:bidi w:val="0"/>
        <w:spacing w:line="360" w:lineRule="auto"/>
        <w:ind w:left="0" w:right="0"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三、服务需求</w:t>
      </w:r>
    </w:p>
    <w:p w14:paraId="15D98F40">
      <w:pPr>
        <w:keepNext w:val="0"/>
        <w:keepLines w:val="0"/>
        <w:pageBreakBefore w:val="0"/>
        <w:wordWrap/>
        <w:overflowPunct/>
        <w:topLinePunct w:val="0"/>
        <w:bidi w:val="0"/>
        <w:spacing w:line="360" w:lineRule="auto"/>
        <w:ind w:left="0" w:right="0" w:firstLine="466" w:firstLineChars="200"/>
        <w:rPr>
          <w:rFonts w:hint="eastAsia"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rPr>
        <w:t>（一）保洁服务</w:t>
      </w:r>
    </w:p>
    <w:p w14:paraId="7649B9CA">
      <w:pPr>
        <w:keepNext w:val="0"/>
        <w:keepLines w:val="0"/>
        <w:pageBreakBefore w:val="0"/>
        <w:wordWrap/>
        <w:overflowPunct/>
        <w:topLinePunct w:val="0"/>
        <w:bidi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体要求有完整的保洁服务质量标准，建立环境卫生管理制度，负责校内所有学校公共区域及指定区域的每天卫生清洁工作和与保洁相关的其他工作（如扫雪等），卫生保洁区内无纸屑、垃圾和污渍，无随意堆放杂物。保洁工作要求在机关人员上班前或下班后进行，特殊场地要不间断循环保洁，做到人过地净，做好自查、巡查记录。</w:t>
      </w:r>
    </w:p>
    <w:p w14:paraId="3BC9611A">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2、具体要求</w:t>
      </w:r>
    </w:p>
    <w:p w14:paraId="72B67222">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 岗位职责 </w:t>
      </w:r>
    </w:p>
    <w:p w14:paraId="69D87612">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（1）物业范围内的公共区域、场所的日常卫生保洁；垃圾收集清运等。定期清洁杀菌消毒(环境、垃圾桶、卫生间、排水渠道等)。 </w:t>
      </w:r>
    </w:p>
    <w:p w14:paraId="263D7598">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（2）会议室日常保洁及不定期保洁。 </w:t>
      </w:r>
    </w:p>
    <w:p w14:paraId="3B398AF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（3）卫生间、洗手间的地面、墙面、门窗、灯具、镜子、卫生洁具等设施的日常清洁保养。 </w:t>
      </w:r>
    </w:p>
    <w:p w14:paraId="601772F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（4）物业区域道路、庭院的日常卫生保洁；清扫范围内所有地方保证无垃圾污物、无砖头瓦砾、无纸屑果皮核、无坑洼污水、无杂草丛生、无乱贴乱画、乱钉牌匾、乱烧树叶、杂草等。 </w:t>
      </w:r>
    </w:p>
    <w:p w14:paraId="4C5BAC51">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（5）夏季雨后一天路面不出现成片积水。冬季雪后及时清扫，小、中雪一天内清完，大雪二日内清完。积雪全部清到绿地内，树盘内，不在路面堆积。 </w:t>
      </w:r>
    </w:p>
    <w:p w14:paraId="59F8FCB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）易损一次性保洁工具、耗材（清洁剂、洗衣粉、卫生球、空气清新剂、卫生香、垃圾袋、灭害灵、卷纸、抽纸等纸品、洗手液）由采购人提供。</w:t>
      </w:r>
    </w:p>
    <w:p w14:paraId="71350AAB">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）完成采购人交办的其他工作。 </w:t>
      </w:r>
    </w:p>
    <w:p w14:paraId="65C626E9">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 服务标准 </w:t>
      </w:r>
    </w:p>
    <w:p w14:paraId="39657EB7">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（1）着装统一，仪态稳重，举止规范，语言文明。 </w:t>
      </w:r>
    </w:p>
    <w:p w14:paraId="5CC4BD8B">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（2）楼内公共区域保洁服务 </w:t>
      </w:r>
    </w:p>
    <w:p w14:paraId="26D5A0C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1 \* GB3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教学楼、实验楼</w:t>
      </w:r>
      <w:r>
        <w:rPr>
          <w:rFonts w:hint="eastAsia" w:ascii="宋体" w:hAnsi="宋体" w:eastAsia="宋体" w:cs="宋体"/>
          <w:color w:val="auto"/>
          <w:sz w:val="24"/>
          <w:szCs w:val="24"/>
          <w:highlight w:val="none"/>
        </w:rPr>
        <w:t>每天早晨、中午各拖一次，随时保洁，做到无污渍、水渍、痰渍、灰尘、纸屑、杂物。雨雪天及时铺放防滑地垫及安全提示牌。门</w:t>
      </w:r>
      <w:r>
        <w:rPr>
          <w:rFonts w:hint="eastAsia" w:ascii="宋体" w:hAnsi="宋体" w:eastAsia="宋体" w:cs="宋体"/>
          <w:color w:val="auto"/>
          <w:sz w:val="24"/>
          <w:szCs w:val="24"/>
          <w:highlight w:val="none"/>
          <w:lang w:val="en-US" w:eastAsia="zh-CN"/>
        </w:rPr>
        <w:t>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墙面、顶棚</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周</w:t>
      </w:r>
      <w:r>
        <w:rPr>
          <w:rFonts w:hint="eastAsia" w:ascii="宋体" w:hAnsi="宋体" w:eastAsia="宋体" w:cs="宋体"/>
          <w:color w:val="auto"/>
          <w:sz w:val="24"/>
          <w:szCs w:val="24"/>
          <w:highlight w:val="none"/>
        </w:rPr>
        <w:t xml:space="preserve">保洁一次。 </w:t>
      </w:r>
    </w:p>
    <w:p w14:paraId="1B91389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各楼层内公共走道每天上、下午各拖一次，消防通道(楼梯)、护栏每周保洁一次，做到无污渍、水渍、痰渍、灰尘、纸屑、杂物。 </w:t>
      </w:r>
    </w:p>
    <w:p w14:paraId="54F9CAA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③各办公室门、防火门、消防设施、</w:t>
      </w:r>
      <w:r>
        <w:rPr>
          <w:rFonts w:hint="eastAsia" w:ascii="宋体" w:hAnsi="宋体" w:eastAsia="宋体" w:cs="宋体"/>
          <w:color w:val="auto"/>
          <w:sz w:val="24"/>
          <w:szCs w:val="24"/>
          <w:highlight w:val="none"/>
          <w:lang w:val="en-US" w:eastAsia="zh-CN"/>
        </w:rPr>
        <w:t>窗台</w:t>
      </w:r>
      <w:r>
        <w:rPr>
          <w:rFonts w:hint="eastAsia" w:ascii="宋体" w:hAnsi="宋体" w:eastAsia="宋体" w:cs="宋体"/>
          <w:color w:val="auto"/>
          <w:sz w:val="24"/>
          <w:szCs w:val="24"/>
          <w:highlight w:val="none"/>
        </w:rPr>
        <w:t>每周清抹不低于一次。</w:t>
      </w:r>
    </w:p>
    <w:p w14:paraId="33724C91">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4 \* GB3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rPr>
        <w:t>各楼楼顶、平台卫生每</w:t>
      </w:r>
      <w:r>
        <w:rPr>
          <w:rFonts w:hint="eastAsia" w:ascii="宋体" w:hAnsi="宋体" w:eastAsia="宋体" w:cs="宋体"/>
          <w:color w:val="auto"/>
          <w:sz w:val="24"/>
          <w:szCs w:val="24"/>
          <w:highlight w:val="none"/>
          <w:lang w:val="en-US" w:eastAsia="zh-CN"/>
        </w:rPr>
        <w:t>季度</w:t>
      </w:r>
      <w:r>
        <w:rPr>
          <w:rFonts w:hint="eastAsia" w:ascii="宋体" w:hAnsi="宋体" w:eastAsia="宋体" w:cs="宋体"/>
          <w:color w:val="auto"/>
          <w:sz w:val="24"/>
          <w:szCs w:val="24"/>
          <w:highlight w:val="none"/>
        </w:rPr>
        <w:t>清扫不低于一次。</w:t>
      </w:r>
    </w:p>
    <w:p w14:paraId="1B080D53">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5 \* GB3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rPr>
        <w:t>卫生间、洗手间、大小便池随时保洁，及时更换保洁区域内的垃圾袋，化妆镜、卫生间门窗、隔断、排气扇等每周全面擦拭一次。卫生间门厅垃圾桶每天清理一次；定期</w:t>
      </w:r>
      <w:r>
        <w:rPr>
          <w:rFonts w:hint="eastAsia" w:ascii="宋体" w:hAnsi="宋体" w:eastAsia="宋体" w:cs="宋体"/>
          <w:color w:val="auto"/>
          <w:sz w:val="24"/>
          <w:szCs w:val="24"/>
          <w:highlight w:val="none"/>
          <w:lang w:val="en-US" w:eastAsia="zh-CN"/>
        </w:rPr>
        <w:t>消毒，</w:t>
      </w:r>
      <w:r>
        <w:rPr>
          <w:rFonts w:hint="eastAsia" w:ascii="宋体" w:hAnsi="宋体" w:eastAsia="宋体" w:cs="宋体"/>
          <w:color w:val="auto"/>
          <w:sz w:val="24"/>
          <w:szCs w:val="24"/>
          <w:highlight w:val="none"/>
        </w:rPr>
        <w:t xml:space="preserve">卫生间不得有异味。每天对卫生间进行巡查，检查门窗，发现设施设备损坏后，及时报告。 </w:t>
      </w:r>
    </w:p>
    <w:p w14:paraId="057F722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6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⑥</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开水间茶叶残渣，随时清理，清扫地面，做到地面无污渍、水渍、痰渍、灰尘、纸屑、杂物。做好开水器外壳的清洁工作，每天清抹一次。</w:t>
      </w:r>
    </w:p>
    <w:p w14:paraId="1F7BC87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7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⑦</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杜绝各区域蜘蛛网、胶带等残留，保持四壁干净。 </w:t>
      </w:r>
    </w:p>
    <w:p w14:paraId="773893C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楼外公共区域保洁服务 </w:t>
      </w:r>
    </w:p>
    <w:p w14:paraId="029682D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①每天上、下午上班前将物业服务区域清扫一次，包括清除路面杂草、树叶、纸屑、垃圾袋等杂物，要求地面、花坛、草坪上无纸屑、杂物，做到循环保洁。垃圾袋装化，每天清理一次垃圾桶，每周清洁、冲洗垃圾桶的污水渍印一次；每二周清洁室外道路雨水口、窨井盖下的杂物一次。 </w:t>
      </w:r>
    </w:p>
    <w:p w14:paraId="719E80E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②化粪池每年清理一至两次，确保管道污水畅通。垃圾每天清理，节假日期间确保校园内及周边整洁干净。</w:t>
      </w:r>
    </w:p>
    <w:p w14:paraId="26256D15">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办公室保洁服务：做好部分办公室、会议室、报告厅、接待室、活动室(包括桌、椅)等日常卫生保洁工作，每周常规大清扫一次，有清扫需求时随时清扫。 </w:t>
      </w:r>
    </w:p>
    <w:p w14:paraId="1F0500AA">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①办公室保洁要求：8点前完成清扫工作保证室内干净、整洁，桌椅及其它办公用具上无灰尘；室内无使用过的一次性水杯，地板干净，烟灰缸内无剩余物；室内四壁干净，家具、用品、设施等清洁、整洁、光亮、无尘。玻璃明净，无灰迹；边框无灰渍。 </w:t>
      </w:r>
    </w:p>
    <w:p w14:paraId="49CD4E8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②会议室、报告厅保洁要求：门、窗每两周擦一次，窗台每隔一天擦一次。要求：窗台上无灰尘；玻璃明净；门板无灰尘、泥渍；桌椅干净、摆放整齐；四壁干净，无蜘蛛网。</w:t>
      </w:r>
    </w:p>
    <w:p w14:paraId="249D95B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③每天对办公室、会议室进行巡查，检查门窗，发现设施设备损坏后，及时报告。 </w:t>
      </w:r>
    </w:p>
    <w:p w14:paraId="1C6542E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4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卫生保洁工作应当注意安全，记录及时。其中卫生间、会议室等清洁记录、消毒记录需要上墙。 </w:t>
      </w:r>
    </w:p>
    <w:p w14:paraId="26E94B0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 人员条件 </w:t>
      </w:r>
    </w:p>
    <w:p w14:paraId="413894D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（1）品德良好，工作态度端正，爱岗敬业，责任心强，无犯罪行为记录。</w:t>
      </w:r>
    </w:p>
    <w:p w14:paraId="6557889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（2）接受过岗位培训，业务熟练。 </w:t>
      </w:r>
    </w:p>
    <w:p w14:paraId="56F04FF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（3）仪容仪表仪态大方，五官端正，统一着装。 </w:t>
      </w:r>
    </w:p>
    <w:p w14:paraId="6265D65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（4）身体健康，精力充沛，形体符合工作要求。</w:t>
      </w:r>
    </w:p>
    <w:p w14:paraId="54920B2A">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（二）宿管服务</w:t>
      </w:r>
    </w:p>
    <w:p w14:paraId="505A21EA">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1.安全管理</w:t>
      </w:r>
    </w:p>
    <w:p w14:paraId="0AE41E06">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（1）负责宿舍楼的安全工作，包括防火、防盗、防止使用大功率电器等违规行为，确保学生的人身和财产安全。</w:t>
      </w:r>
    </w:p>
    <w:p w14:paraId="66126931">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（2）定期检查宿舍设施，如门窗、水电设备、消防器材等，及时发现并处理安全隐患。</w:t>
      </w:r>
    </w:p>
    <w:p w14:paraId="57A60D00">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2.突发事件处理：</w:t>
      </w:r>
    </w:p>
    <w:p w14:paraId="46C017FA">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（1）处理宿舍内的突发事件，如火灾、打架、盗窃等，并及时上报相关部门。</w:t>
      </w:r>
    </w:p>
    <w:p w14:paraId="655A9148">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（2）在突发事件发生时，组织学生进行有序疏散，确保学生安全。</w:t>
      </w:r>
    </w:p>
    <w:p w14:paraId="6D92A772">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3.卫生管理</w:t>
      </w:r>
    </w:p>
    <w:p w14:paraId="345CE03B">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（1）确保宿舍内和公共区域的卫生整洁，包括寝室、走廊、楼梯间、厕所等。</w:t>
      </w:r>
    </w:p>
    <w:p w14:paraId="24C35C76">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（2）定期检查宿舍卫生，对不符合卫生标准的宿舍进行督促整改。</w:t>
      </w:r>
    </w:p>
    <w:p w14:paraId="5F21C32C">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（3）指导学生做好个人卫生和公共区域的清洁工作，培养学生的卫生习惯。</w:t>
      </w:r>
    </w:p>
    <w:p w14:paraId="7AED4A89">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4.纪律管理</w:t>
      </w:r>
    </w:p>
    <w:p w14:paraId="02CF003F">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（1）监督学生遵守宿舍规章制度，如作息时间、会客制度、物品管理等。</w:t>
      </w:r>
    </w:p>
    <w:p w14:paraId="694B60D0">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（2）处理学生违纪行为，如夜不归宿、使用违禁电器、私自留宿外人等，并根据规定进行相应处理。</w:t>
      </w:r>
    </w:p>
    <w:p w14:paraId="41C50237">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（3）维护宿舍楼的秩序，确保学生安静、文明地生活和学习。</w:t>
      </w:r>
    </w:p>
    <w:p w14:paraId="7120F342">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（4）调解学生之间的矛盾纠纷，维护宿舍的和谐氛围。</w:t>
      </w:r>
    </w:p>
    <w:p w14:paraId="3F85BC0B">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5.学生指导与服务</w:t>
      </w:r>
    </w:p>
    <w:p w14:paraId="1B7E58EA">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（1）协助学生解决宿舍生活中的问题，如提供生活常识、解答学生疑问等。</w:t>
      </w:r>
    </w:p>
    <w:p w14:paraId="69214E42">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（2）关注学生的思想动态，及时发现并处理学生的心理问题。</w:t>
      </w:r>
    </w:p>
    <w:p w14:paraId="44BC201B">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（3）协助学校相关部门开展宿舍文化活动，促进学生的交流与沟通。</w:t>
      </w:r>
    </w:p>
    <w:p w14:paraId="48936C92">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6.设施管理与维护</w:t>
      </w:r>
    </w:p>
    <w:p w14:paraId="34F7BF43">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（1）定期检查宿舍设施的使用情况，如床铺、桌椅、电器设备等。</w:t>
      </w:r>
    </w:p>
    <w:p w14:paraId="33A64293">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（2）及时发现并处理设施故障，确保学生的基本生活条件。</w:t>
      </w:r>
    </w:p>
    <w:p w14:paraId="6FE024AE">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维修报修：</w:t>
      </w:r>
    </w:p>
    <w:p w14:paraId="6B39FC64">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（3）负责宿舍设施的维修报修工作，与后勤部门协调解决设施问题。</w:t>
      </w:r>
    </w:p>
    <w:p w14:paraId="3A79806B">
      <w:pPr>
        <w:pStyle w:val="2"/>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7.信息管理与沟通</w:t>
      </w:r>
    </w:p>
    <w:p w14:paraId="650873C2">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（1）收集并整理学生住宿信息，如学生姓名、班级、家庭联系方式等。</w:t>
      </w:r>
    </w:p>
    <w:p w14:paraId="45E37AC5">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（2）及时了解学生住宿情况，为管理工作提供数据支持。</w:t>
      </w:r>
    </w:p>
    <w:p w14:paraId="6C096B74">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（3）与学生、班主任、家长及相关部门保持良好的沟通联系。</w:t>
      </w:r>
    </w:p>
    <w:p w14:paraId="1A5AB3F6">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（4）及时反馈学生宿舍方面的情况，共同解决学生住宿中的问题。</w:t>
      </w:r>
    </w:p>
    <w:p w14:paraId="52F8DB93">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8.其他职责</w:t>
      </w:r>
    </w:p>
    <w:p w14:paraId="265C47B4">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（1）每学期开学前根据学校提供的住宿生名单，合理安排学生宿舍。</w:t>
      </w:r>
    </w:p>
    <w:p w14:paraId="31399A6F">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（2）完成学校及上级部门交办的其他工作任务。</w:t>
      </w:r>
    </w:p>
    <w:p w14:paraId="0EF35B75">
      <w:pPr>
        <w:keepNext w:val="0"/>
        <w:keepLines w:val="0"/>
        <w:pageBreakBefore w:val="0"/>
        <w:wordWrap/>
        <w:overflowPunct/>
        <w:topLinePunct w:val="0"/>
        <w:bidi w:val="0"/>
        <w:spacing w:line="360" w:lineRule="auto"/>
        <w:ind w:left="0" w:right="0"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）日常维护及</w:t>
      </w:r>
      <w:r>
        <w:rPr>
          <w:rFonts w:hint="eastAsia" w:ascii="宋体" w:hAnsi="宋体" w:eastAsia="宋体" w:cs="宋体"/>
          <w:b/>
          <w:color w:val="auto"/>
          <w:sz w:val="24"/>
          <w:szCs w:val="24"/>
          <w:highlight w:val="none"/>
          <w:lang w:val="en-US" w:eastAsia="zh-CN"/>
        </w:rPr>
        <w:t>维修</w:t>
      </w:r>
    </w:p>
    <w:p w14:paraId="1E7EDD53">
      <w:pPr>
        <w:keepNext w:val="0"/>
        <w:keepLines w:val="0"/>
        <w:pageBreakBefore w:val="0"/>
        <w:wordWrap/>
        <w:overflowPunct/>
        <w:topLinePunct w:val="0"/>
        <w:bidi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1、检查门、窗、玻璃、门锁、给水、阀门、龙头、卫生间水箱、节水装置、灯具、灯座、开关、插座、洁具、墙面砖、地砖等损坏情况，及时上报学校主管部门，由</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负责维修或更换，所产生的材料费用由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承担，工时费由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负责，确保学校教育教学活动正常开展。</w:t>
      </w:r>
    </w:p>
    <w:p w14:paraId="4199F3A6">
      <w:pPr>
        <w:keepNext w:val="0"/>
        <w:keepLines w:val="0"/>
        <w:pageBreakBefore w:val="0"/>
        <w:wordWrap/>
        <w:overflowPunct/>
        <w:topLinePunct w:val="0"/>
        <w:bidi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2、做好垃圾桶（箱）、宣传栏、路灯、灯杆、路牌、标示牌、雕塑</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维护清洁、</w:t>
      </w:r>
      <w:r>
        <w:rPr>
          <w:rFonts w:hint="eastAsia" w:ascii="宋体" w:hAnsi="宋体" w:eastAsia="宋体" w:cs="宋体"/>
          <w:color w:val="auto"/>
          <w:sz w:val="24"/>
          <w:szCs w:val="24"/>
          <w:highlight w:val="none"/>
          <w:lang w:eastAsia="zh-CN"/>
        </w:rPr>
        <w:t>检查、</w:t>
      </w:r>
      <w:r>
        <w:rPr>
          <w:rFonts w:hint="eastAsia" w:ascii="宋体" w:hAnsi="宋体" w:eastAsia="宋体" w:cs="宋体"/>
          <w:color w:val="auto"/>
          <w:sz w:val="24"/>
          <w:szCs w:val="24"/>
          <w:highlight w:val="none"/>
        </w:rPr>
        <w:t>保洁。</w:t>
      </w:r>
    </w:p>
    <w:p w14:paraId="5255693D">
      <w:pPr>
        <w:keepNext w:val="0"/>
        <w:keepLines w:val="0"/>
        <w:pageBreakBefore w:val="0"/>
        <w:wordWrap/>
        <w:overflowPunct/>
        <w:topLinePunct w:val="0"/>
        <w:bidi w:val="0"/>
        <w:spacing w:line="360" w:lineRule="auto"/>
        <w:ind w:left="0"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3、校园内物业管理范围内的建筑、各类设备、设施一旦出现损坏的情况（如供水管路、阀门、消防栓跑水、漏水等）及时向学校物业</w:t>
      </w:r>
      <w:r>
        <w:rPr>
          <w:rFonts w:hint="eastAsia" w:ascii="宋体" w:hAnsi="宋体" w:eastAsia="宋体" w:cs="宋体"/>
          <w:color w:val="auto"/>
          <w:sz w:val="24"/>
          <w:szCs w:val="24"/>
          <w:highlight w:val="none"/>
          <w:lang w:eastAsia="zh-CN"/>
        </w:rPr>
        <w:t>主</w:t>
      </w:r>
      <w:r>
        <w:rPr>
          <w:rFonts w:hint="eastAsia" w:ascii="宋体" w:hAnsi="宋体" w:eastAsia="宋体" w:cs="宋体"/>
          <w:color w:val="auto"/>
          <w:sz w:val="24"/>
          <w:szCs w:val="24"/>
          <w:highlight w:val="none"/>
        </w:rPr>
        <w:t>管部门或相关管理部门上报</w:t>
      </w:r>
      <w:r>
        <w:rPr>
          <w:rFonts w:hint="eastAsia" w:ascii="宋体" w:hAnsi="宋体" w:eastAsia="宋体" w:cs="宋体"/>
          <w:color w:val="auto"/>
          <w:sz w:val="24"/>
          <w:szCs w:val="24"/>
          <w:highlight w:val="none"/>
          <w:lang w:eastAsia="zh-CN"/>
        </w:rPr>
        <w:t>，由学校主管部门</w:t>
      </w:r>
      <w:r>
        <w:rPr>
          <w:rFonts w:hint="eastAsia" w:ascii="宋体" w:hAnsi="宋体" w:eastAsia="宋体" w:cs="宋体"/>
          <w:color w:val="auto"/>
          <w:sz w:val="24"/>
          <w:szCs w:val="24"/>
          <w:highlight w:val="none"/>
        </w:rPr>
        <w:t>组织维修。</w:t>
      </w:r>
    </w:p>
    <w:p w14:paraId="27ED18EE">
      <w:pPr>
        <w:keepNext w:val="0"/>
        <w:keepLines w:val="0"/>
        <w:pageBreakBefore w:val="0"/>
        <w:wordWrap/>
        <w:overflowPunct/>
        <w:topLinePunct w:val="0"/>
        <w:bidi w:val="0"/>
        <w:spacing w:line="360" w:lineRule="auto"/>
        <w:ind w:left="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 xml:space="preserve">）绿地、设施管护 </w:t>
      </w:r>
    </w:p>
    <w:p w14:paraId="723D6D87">
      <w:pPr>
        <w:keepNext w:val="0"/>
        <w:keepLines w:val="0"/>
        <w:pageBreakBefore w:val="0"/>
        <w:wordWrap/>
        <w:overflowPunct/>
        <w:topLinePunct w:val="0"/>
        <w:bidi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1、及时清除绿地（带）、树池、树盘内垃圾、砖石瓦块、枝叶、杂草，垃圾袋装化，随产随清。</w:t>
      </w:r>
    </w:p>
    <w:p w14:paraId="01314551">
      <w:pPr>
        <w:keepNext w:val="0"/>
        <w:keepLines w:val="0"/>
        <w:pageBreakBefore w:val="0"/>
        <w:wordWrap/>
        <w:overflowPunct/>
        <w:topLinePunct w:val="0"/>
        <w:bidi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2、广场、道路，每天上午7:00点以前完成普扫；</w:t>
      </w:r>
      <w:r>
        <w:rPr>
          <w:rFonts w:hint="eastAsia" w:ascii="宋体" w:hAnsi="宋体" w:eastAsia="宋体" w:cs="宋体"/>
          <w:color w:val="auto"/>
          <w:sz w:val="24"/>
          <w:szCs w:val="24"/>
          <w:highlight w:val="none"/>
          <w:lang w:eastAsia="zh-CN"/>
        </w:rPr>
        <w:t>全天候</w:t>
      </w:r>
      <w:r>
        <w:rPr>
          <w:rFonts w:hint="eastAsia" w:ascii="宋体" w:hAnsi="宋体" w:eastAsia="宋体" w:cs="宋体"/>
          <w:color w:val="auto"/>
          <w:sz w:val="24"/>
          <w:szCs w:val="24"/>
          <w:highlight w:val="none"/>
        </w:rPr>
        <w:t>清扫保洁，随时保持绿地清洁</w:t>
      </w:r>
      <w:r>
        <w:rPr>
          <w:rFonts w:hint="eastAsia" w:ascii="宋体" w:hAnsi="宋体" w:eastAsia="宋体" w:cs="宋体"/>
          <w:color w:val="auto"/>
          <w:sz w:val="24"/>
          <w:szCs w:val="24"/>
          <w:highlight w:val="none"/>
          <w:lang w:eastAsia="zh-CN"/>
        </w:rPr>
        <w:t>和绿化管护</w:t>
      </w:r>
      <w:r>
        <w:rPr>
          <w:rFonts w:hint="eastAsia" w:ascii="宋体" w:hAnsi="宋体" w:eastAsia="宋体" w:cs="宋体"/>
          <w:color w:val="auto"/>
          <w:sz w:val="24"/>
          <w:szCs w:val="24"/>
          <w:highlight w:val="none"/>
        </w:rPr>
        <w:t>。</w:t>
      </w:r>
    </w:p>
    <w:p w14:paraId="2ED7893F">
      <w:pPr>
        <w:keepNext w:val="0"/>
        <w:keepLines w:val="0"/>
        <w:pageBreakBefore w:val="0"/>
        <w:wordWrap/>
        <w:overflowPunct/>
        <w:topLinePunct w:val="0"/>
        <w:bidi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3、绿地内、树木上无拉挂、刻画张贴、悬挂物、禁锢物等。</w:t>
      </w:r>
    </w:p>
    <w:p w14:paraId="3B9B91EF">
      <w:pPr>
        <w:keepNext w:val="0"/>
        <w:keepLines w:val="0"/>
        <w:pageBreakBefore w:val="0"/>
        <w:wordWrap/>
        <w:overflowPunct/>
        <w:topLinePunct w:val="0"/>
        <w:bidi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4、每月对窨井、管沟清淤一次。</w:t>
      </w:r>
    </w:p>
    <w:p w14:paraId="75287B83">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jc w:val="left"/>
        <w:textAlignment w:val="baseline"/>
        <w:rPr>
          <w:rFonts w:hint="eastAsia" w:ascii="宋体" w:hAnsi="宋体" w:eastAsia="宋体" w:cs="宋体"/>
          <w:b/>
          <w:bCs/>
          <w:color w:val="auto"/>
          <w:spacing w:val="-2"/>
          <w:sz w:val="24"/>
          <w:szCs w:val="24"/>
          <w:highlight w:val="none"/>
          <w:lang w:val="en-US" w:eastAsia="zh-CN"/>
        </w:rPr>
      </w:pPr>
      <w:r>
        <w:rPr>
          <w:rFonts w:hint="eastAsia" w:ascii="宋体" w:hAnsi="宋体" w:eastAsia="宋体" w:cs="宋体"/>
          <w:b/>
          <w:bCs/>
          <w:color w:val="auto"/>
          <w:spacing w:val="-2"/>
          <w:sz w:val="24"/>
          <w:szCs w:val="24"/>
          <w:highlight w:val="none"/>
          <w:lang w:val="en-US" w:eastAsia="zh-CN"/>
        </w:rPr>
        <w:t>（五）日常绿化养护（购置药品、新苗木、花草费用由采购人承担）</w:t>
      </w:r>
    </w:p>
    <w:p w14:paraId="25C0977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1、每季度进行一次树木修剪、杂草木清除。</w:t>
      </w:r>
    </w:p>
    <w:p w14:paraId="50BB80C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2、及时开展病虫害防治、枯木锯除。</w:t>
      </w:r>
    </w:p>
    <w:p w14:paraId="3C4632F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3、排涝浇水、施肥、草坪修整。</w:t>
      </w:r>
    </w:p>
    <w:p w14:paraId="358BF43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4、补种、树木支撑及扶正、防冻保暖、防晒、除冰除雪。</w:t>
      </w:r>
    </w:p>
    <w:p w14:paraId="5B91EF1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5、成活率保障。</w:t>
      </w:r>
    </w:p>
    <w:p w14:paraId="0381CCEE">
      <w:pPr>
        <w:keepNext w:val="0"/>
        <w:keepLines w:val="0"/>
        <w:pageBreakBefore w:val="0"/>
        <w:wordWrap/>
        <w:overflowPunct/>
        <w:topLinePunct w:val="0"/>
        <w:bidi w:val="0"/>
        <w:spacing w:line="360" w:lineRule="auto"/>
        <w:ind w:left="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）特别说明</w:t>
      </w:r>
    </w:p>
    <w:p w14:paraId="69F0B2C9">
      <w:pPr>
        <w:keepNext w:val="0"/>
        <w:keepLines w:val="0"/>
        <w:pageBreakBefore w:val="0"/>
        <w:wordWrap/>
        <w:overflowPunct/>
        <w:topLinePunct w:val="0"/>
        <w:bidi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做好</w:t>
      </w:r>
      <w:r>
        <w:rPr>
          <w:rFonts w:hint="eastAsia" w:ascii="宋体" w:hAnsi="宋体" w:eastAsia="宋体" w:cs="宋体"/>
          <w:color w:val="auto"/>
          <w:sz w:val="24"/>
          <w:szCs w:val="24"/>
          <w:highlight w:val="none"/>
        </w:rPr>
        <w:t>大型考试考场卫生打扫、字体覆盖、桌椅布置、考场冷热水供应服务工作（标准符合上级部门要求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学校不另支付</w:t>
      </w:r>
      <w:r>
        <w:rPr>
          <w:rFonts w:hint="eastAsia" w:ascii="宋体" w:hAnsi="宋体" w:eastAsia="宋体" w:cs="宋体"/>
          <w:color w:val="auto"/>
          <w:sz w:val="24"/>
          <w:szCs w:val="24"/>
          <w:highlight w:val="none"/>
        </w:rPr>
        <w:t>）。</w:t>
      </w:r>
    </w:p>
    <w:p w14:paraId="68659ECD">
      <w:pPr>
        <w:pStyle w:val="2"/>
        <w:keepNext w:val="0"/>
        <w:keepLines w:val="0"/>
        <w:pageBreakBefore w:val="0"/>
        <w:wordWrap/>
        <w:overflowPunct/>
        <w:topLinePunct w:val="0"/>
        <w:bidi w:val="0"/>
        <w:spacing w:after="0" w:line="360" w:lineRule="auto"/>
        <w:ind w:left="0"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2、做好学校大型活动的物品搬运、班级课桌椅的调整。</w:t>
      </w:r>
    </w:p>
    <w:p w14:paraId="24CD25C4">
      <w:pPr>
        <w:keepNext w:val="0"/>
        <w:keepLines w:val="0"/>
        <w:pageBreakBefore w:val="0"/>
        <w:wordWrap/>
        <w:overflowPunct/>
        <w:topLinePunct w:val="0"/>
        <w:bidi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一旦</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后不得毁约，否则承担相关法律责任。</w:t>
      </w:r>
    </w:p>
    <w:p w14:paraId="104E2391">
      <w:pPr>
        <w:keepNext w:val="0"/>
        <w:keepLines w:val="0"/>
        <w:pageBreakBefore w:val="0"/>
        <w:wordWrap/>
        <w:overflowPunct/>
        <w:topLinePunct w:val="0"/>
        <w:bidi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须自行勘察现场，充分考虑项目服务期间的各项风险因素，进行报价。</w:t>
      </w:r>
    </w:p>
    <w:p w14:paraId="4D8EB4B2">
      <w:pPr>
        <w:keepNext w:val="0"/>
        <w:keepLines w:val="0"/>
        <w:pageBreakBefore w:val="0"/>
        <w:wordWrap/>
        <w:overflowPunct/>
        <w:topLinePunct w:val="0"/>
        <w:bidi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应积极响应学校通知，如出现不响应或响应不及时现象，将约谈负责人直至解除合同。</w:t>
      </w:r>
    </w:p>
    <w:p w14:paraId="1B351A61">
      <w:pPr>
        <w:keepNext w:val="0"/>
        <w:keepLines w:val="0"/>
        <w:pageBreakBefore w:val="0"/>
        <w:wordWrap/>
        <w:overflowPunct/>
        <w:topLinePunct w:val="0"/>
        <w:bidi w:val="0"/>
        <w:spacing w:line="360" w:lineRule="auto"/>
        <w:ind w:left="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、人员配置要求</w:t>
      </w:r>
    </w:p>
    <w:p w14:paraId="6F35F1B8">
      <w:pPr>
        <w:keepNext w:val="0"/>
        <w:keepLines w:val="0"/>
        <w:pageBreakBefore w:val="0"/>
        <w:wordWrap/>
        <w:overflowPunct/>
        <w:topLinePunct w:val="0"/>
        <w:bidi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1、各专业人员齐全，总人数不少于</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人（需增加部分机动人员，填补请假、病休等岗位）；</w:t>
      </w:r>
    </w:p>
    <w:p w14:paraId="79386E86">
      <w:pPr>
        <w:keepNext w:val="0"/>
        <w:keepLines w:val="0"/>
        <w:pageBreakBefore w:val="0"/>
        <w:numPr>
          <w:ilvl w:val="0"/>
          <w:numId w:val="1"/>
        </w:numPr>
        <w:wordWrap/>
        <w:overflowPunct/>
        <w:topLinePunct w:val="0"/>
        <w:bidi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物业经理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需提供无犯罪证明，</w:t>
      </w:r>
      <w:r>
        <w:rPr>
          <w:rFonts w:hint="eastAsia" w:ascii="宋体" w:hAnsi="宋体" w:eastAsia="宋体" w:cs="宋体"/>
          <w:color w:val="auto"/>
          <w:sz w:val="24"/>
          <w:szCs w:val="24"/>
          <w:highlight w:val="none"/>
        </w:rPr>
        <w:t>规范组织管理服务工作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校园物业</w:t>
      </w:r>
      <w:r>
        <w:rPr>
          <w:rFonts w:hint="eastAsia" w:ascii="宋体" w:hAnsi="宋体" w:eastAsia="宋体" w:cs="宋体"/>
          <w:color w:val="auto"/>
          <w:sz w:val="24"/>
          <w:szCs w:val="24"/>
          <w:highlight w:val="none"/>
        </w:rPr>
        <w:t>管理</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经验。</w:t>
      </w:r>
    </w:p>
    <w:p w14:paraId="47C7098D">
      <w:pPr>
        <w:keepNext w:val="0"/>
        <w:keepLines w:val="0"/>
        <w:pageBreakBefore w:val="0"/>
        <w:numPr>
          <w:ilvl w:val="0"/>
          <w:numId w:val="1"/>
        </w:numPr>
        <w:wordWrap/>
        <w:overflowPunct/>
        <w:topLinePunct w:val="0"/>
        <w:bidi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身体健康，五官端正，应具备校园的保洁能力，具有1年以上工作经验。</w:t>
      </w:r>
    </w:p>
    <w:p w14:paraId="0C169A5F">
      <w:pPr>
        <w:pStyle w:val="2"/>
        <w:keepNext w:val="0"/>
        <w:keepLines w:val="0"/>
        <w:pageBreakBefore w:val="0"/>
        <w:wordWrap/>
        <w:overflowPunct/>
        <w:topLinePunct w:val="0"/>
        <w:bidi w:val="0"/>
        <w:spacing w:after="0" w:line="360" w:lineRule="auto"/>
        <w:ind w:left="0"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4、宿舍员：身心健康，有爱心、责任心，适应住校值班。</w:t>
      </w:r>
    </w:p>
    <w:p w14:paraId="64443727">
      <w:pPr>
        <w:keepNext w:val="0"/>
        <w:keepLines w:val="0"/>
        <w:pageBreakBefore w:val="0"/>
        <w:wordWrap/>
        <w:overflowPunct/>
        <w:topLinePunct w:val="0"/>
        <w:bidi w:val="0"/>
        <w:spacing w:line="360" w:lineRule="auto"/>
        <w:ind w:left="0" w:right="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、各物业管理服务人员在校内不</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使用大功率的电器（设备）用于生活用途，如热得快、电炒锅、电炉、电暖器等，不得使用电、煤气炉灶等私自做饭菜。</w:t>
      </w:r>
    </w:p>
    <w:p w14:paraId="641D5294">
      <w:pPr>
        <w:keepNext w:val="0"/>
        <w:keepLines w:val="0"/>
        <w:pageBreakBefore w:val="0"/>
        <w:wordWrap/>
        <w:overflowPunct/>
        <w:topLinePunct w:val="0"/>
        <w:bidi w:val="0"/>
        <w:spacing w:line="360" w:lineRule="auto"/>
        <w:ind w:left="0" w:right="0"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肥东</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中物业服务人员配置及分布</w:t>
      </w:r>
    </w:p>
    <w:p w14:paraId="3F502CBB">
      <w:pPr>
        <w:keepNext w:val="0"/>
        <w:keepLines w:val="0"/>
        <w:pageBreakBefore w:val="0"/>
        <w:numPr>
          <w:ilvl w:val="0"/>
          <w:numId w:val="2"/>
        </w:numPr>
        <w:wordWrap/>
        <w:overflowPunct/>
        <w:topLinePunct w:val="0"/>
        <w:bidi w:val="0"/>
        <w:spacing w:line="360" w:lineRule="auto"/>
        <w:ind w:left="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项目管理人员</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人</w:t>
      </w:r>
      <w:r>
        <w:rPr>
          <w:rFonts w:hint="eastAsia" w:ascii="宋体" w:hAnsi="宋体" w:eastAsia="宋体" w:cs="宋体"/>
          <w:b/>
          <w:bCs/>
          <w:color w:val="auto"/>
          <w:sz w:val="24"/>
          <w:szCs w:val="24"/>
          <w:highlight w:val="none"/>
          <w:lang w:eastAsia="zh-CN"/>
        </w:rPr>
        <w:t>。</w:t>
      </w:r>
    </w:p>
    <w:p w14:paraId="0F82C515">
      <w:pPr>
        <w:keepNext w:val="0"/>
        <w:keepLines w:val="0"/>
        <w:pageBreakBefore w:val="0"/>
        <w:numPr>
          <w:ilvl w:val="0"/>
          <w:numId w:val="0"/>
        </w:numPr>
        <w:wordWrap/>
        <w:overflowPunct/>
        <w:topLinePunct w:val="0"/>
        <w:bidi w:val="0"/>
        <w:spacing w:line="360" w:lineRule="auto"/>
        <w:ind w:left="0" w:right="0"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（二）保洁员</w:t>
      </w:r>
      <w:r>
        <w:rPr>
          <w:rFonts w:hint="eastAsia" w:ascii="宋体" w:hAnsi="宋体" w:eastAsia="宋体" w:cs="宋体"/>
          <w:b/>
          <w:bCs/>
          <w:color w:val="auto"/>
          <w:sz w:val="24"/>
          <w:szCs w:val="24"/>
          <w:highlight w:val="none"/>
          <w:lang w:val="en-US" w:eastAsia="zh-CN"/>
        </w:rPr>
        <w:t>16</w:t>
      </w:r>
      <w:r>
        <w:rPr>
          <w:rFonts w:hint="eastAsia" w:ascii="宋体" w:hAnsi="宋体" w:eastAsia="宋体" w:cs="宋体"/>
          <w:b/>
          <w:bCs/>
          <w:color w:val="auto"/>
          <w:sz w:val="24"/>
          <w:szCs w:val="24"/>
          <w:highlight w:val="none"/>
        </w:rPr>
        <w:t>人</w:t>
      </w:r>
      <w:r>
        <w:rPr>
          <w:rFonts w:hint="eastAsia" w:ascii="宋体" w:hAnsi="宋体" w:eastAsia="宋体" w:cs="宋体"/>
          <w:b/>
          <w:bCs/>
          <w:color w:val="auto"/>
          <w:sz w:val="24"/>
          <w:szCs w:val="24"/>
          <w:highlight w:val="none"/>
          <w:lang w:eastAsia="zh-CN"/>
        </w:rPr>
        <w:t>。</w:t>
      </w:r>
    </w:p>
    <w:p w14:paraId="662B9AA0">
      <w:pPr>
        <w:keepNext w:val="0"/>
        <w:keepLines w:val="0"/>
        <w:pageBreakBefore w:val="0"/>
        <w:wordWrap/>
        <w:overflowPunct/>
        <w:topLinePunct w:val="0"/>
        <w:bidi w:val="0"/>
        <w:spacing w:line="360" w:lineRule="auto"/>
        <w:ind w:left="0" w:right="0"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中学部:11</w:t>
      </w:r>
      <w:r>
        <w:rPr>
          <w:rFonts w:hint="eastAsia" w:ascii="宋体" w:hAnsi="宋体" w:eastAsia="宋体" w:cs="宋体"/>
          <w:b/>
          <w:bCs/>
          <w:color w:val="auto"/>
          <w:sz w:val="24"/>
          <w:szCs w:val="24"/>
          <w:highlight w:val="none"/>
        </w:rPr>
        <w:t>人</w:t>
      </w:r>
      <w:r>
        <w:rPr>
          <w:rFonts w:hint="eastAsia" w:ascii="宋体" w:hAnsi="宋体" w:eastAsia="宋体" w:cs="宋体"/>
          <w:b/>
          <w:bCs/>
          <w:color w:val="auto"/>
          <w:sz w:val="24"/>
          <w:szCs w:val="24"/>
          <w:highlight w:val="none"/>
          <w:lang w:eastAsia="zh-CN"/>
        </w:rPr>
        <w:t>。</w:t>
      </w:r>
    </w:p>
    <w:p w14:paraId="012656A6">
      <w:pPr>
        <w:pStyle w:val="2"/>
        <w:keepNext w:val="0"/>
        <w:keepLines w:val="0"/>
        <w:pageBreakBefore w:val="0"/>
        <w:wordWrap/>
        <w:overflowPunct/>
        <w:topLinePunct w:val="0"/>
        <w:bidi w:val="0"/>
        <w:spacing w:after="0" w:line="360" w:lineRule="auto"/>
        <w:ind w:left="0"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（1）润德楼、齐贤楼5人；</w:t>
      </w:r>
    </w:p>
    <w:p w14:paraId="12699A49">
      <w:pPr>
        <w:pStyle w:val="2"/>
        <w:keepNext w:val="0"/>
        <w:keepLines w:val="0"/>
        <w:pageBreakBefore w:val="0"/>
        <w:wordWrap/>
        <w:overflowPunct/>
        <w:topLinePunct w:val="0"/>
        <w:bidi w:val="0"/>
        <w:spacing w:after="0" w:line="360" w:lineRule="auto"/>
        <w:ind w:left="0"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（2）仁和楼1人；</w:t>
      </w:r>
    </w:p>
    <w:p w14:paraId="336FE9D1">
      <w:pPr>
        <w:pStyle w:val="2"/>
        <w:keepNext w:val="0"/>
        <w:keepLines w:val="0"/>
        <w:pageBreakBefore w:val="0"/>
        <w:wordWrap/>
        <w:overflowPunct/>
        <w:topLinePunct w:val="0"/>
        <w:bidi w:val="0"/>
        <w:spacing w:after="0" w:line="360" w:lineRule="auto"/>
        <w:ind w:left="0"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（3）创新中心、行健馆1人；</w:t>
      </w:r>
    </w:p>
    <w:p w14:paraId="1B9C8AB2">
      <w:pPr>
        <w:pStyle w:val="2"/>
        <w:keepNext w:val="0"/>
        <w:keepLines w:val="0"/>
        <w:pageBreakBefore w:val="0"/>
        <w:wordWrap/>
        <w:overflowPunct/>
        <w:topLinePunct w:val="0"/>
        <w:bidi w:val="0"/>
        <w:spacing w:after="0" w:line="360" w:lineRule="auto"/>
        <w:ind w:left="0"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（4）启智楼、报告厅1人；</w:t>
      </w:r>
    </w:p>
    <w:p w14:paraId="16538CEC">
      <w:pPr>
        <w:pStyle w:val="2"/>
        <w:keepNext w:val="0"/>
        <w:keepLines w:val="0"/>
        <w:pageBreakBefore w:val="0"/>
        <w:wordWrap/>
        <w:overflowPunct/>
        <w:topLinePunct w:val="0"/>
        <w:bidi w:val="0"/>
        <w:spacing w:after="0" w:line="360" w:lineRule="auto"/>
        <w:ind w:left="0"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（5）室外公共区域3人；</w:t>
      </w:r>
    </w:p>
    <w:p w14:paraId="0C40DF0D">
      <w:pPr>
        <w:keepNext w:val="0"/>
        <w:keepLines w:val="0"/>
        <w:pageBreakBefore w:val="0"/>
        <w:wordWrap/>
        <w:overflowPunct/>
        <w:topLinePunct w:val="0"/>
        <w:bidi w:val="0"/>
        <w:spacing w:line="360" w:lineRule="auto"/>
        <w:ind w:left="0" w:right="0"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小学部:5</w:t>
      </w:r>
      <w:r>
        <w:rPr>
          <w:rFonts w:hint="eastAsia" w:ascii="宋体" w:hAnsi="宋体" w:eastAsia="宋体" w:cs="宋体"/>
          <w:b/>
          <w:bCs/>
          <w:color w:val="auto"/>
          <w:sz w:val="24"/>
          <w:szCs w:val="24"/>
          <w:highlight w:val="none"/>
        </w:rPr>
        <w:t>人</w:t>
      </w:r>
      <w:r>
        <w:rPr>
          <w:rFonts w:hint="eastAsia" w:ascii="宋体" w:hAnsi="宋体" w:eastAsia="宋体" w:cs="宋体"/>
          <w:b/>
          <w:bCs/>
          <w:color w:val="auto"/>
          <w:sz w:val="24"/>
          <w:szCs w:val="24"/>
          <w:highlight w:val="none"/>
          <w:lang w:eastAsia="zh-CN"/>
        </w:rPr>
        <w:t>。</w:t>
      </w:r>
    </w:p>
    <w:p w14:paraId="2BF55413">
      <w:pPr>
        <w:pStyle w:val="2"/>
        <w:keepNext w:val="0"/>
        <w:keepLines w:val="0"/>
        <w:pageBreakBefore w:val="0"/>
        <w:wordWrap/>
        <w:overflowPunct/>
        <w:topLinePunct w:val="0"/>
        <w:bidi w:val="0"/>
        <w:spacing w:after="0" w:line="360" w:lineRule="auto"/>
        <w:ind w:left="0"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（1）1号楼1人；</w:t>
      </w:r>
    </w:p>
    <w:p w14:paraId="4040B4A2">
      <w:pPr>
        <w:pStyle w:val="2"/>
        <w:keepNext w:val="0"/>
        <w:keepLines w:val="0"/>
        <w:pageBreakBefore w:val="0"/>
        <w:wordWrap/>
        <w:overflowPunct/>
        <w:topLinePunct w:val="0"/>
        <w:bidi w:val="0"/>
        <w:spacing w:after="0" w:line="360" w:lineRule="auto"/>
        <w:ind w:left="0"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（2）2号楼1人；</w:t>
      </w:r>
    </w:p>
    <w:p w14:paraId="1A011A4B">
      <w:pPr>
        <w:pStyle w:val="2"/>
        <w:keepNext w:val="0"/>
        <w:keepLines w:val="0"/>
        <w:pageBreakBefore w:val="0"/>
        <w:wordWrap/>
        <w:overflowPunct/>
        <w:topLinePunct w:val="0"/>
        <w:bidi w:val="0"/>
        <w:spacing w:after="0" w:line="360" w:lineRule="auto"/>
        <w:ind w:left="0"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（3）3号楼1人；</w:t>
      </w:r>
    </w:p>
    <w:p w14:paraId="61C185ED">
      <w:pPr>
        <w:pStyle w:val="2"/>
        <w:keepNext w:val="0"/>
        <w:keepLines w:val="0"/>
        <w:pageBreakBefore w:val="0"/>
        <w:wordWrap/>
        <w:overflowPunct/>
        <w:topLinePunct w:val="0"/>
        <w:bidi w:val="0"/>
        <w:spacing w:after="0" w:line="360" w:lineRule="auto"/>
        <w:ind w:left="0"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（4）4、5号楼1人；</w:t>
      </w:r>
    </w:p>
    <w:p w14:paraId="11B44FBD">
      <w:pPr>
        <w:pStyle w:val="2"/>
        <w:keepNext w:val="0"/>
        <w:keepLines w:val="0"/>
        <w:pageBreakBefore w:val="0"/>
        <w:wordWrap/>
        <w:overflowPunct/>
        <w:topLinePunct w:val="0"/>
        <w:bidi w:val="0"/>
        <w:spacing w:after="0" w:line="360" w:lineRule="auto"/>
        <w:ind w:left="0"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（5）室外公共区域1人；</w:t>
      </w:r>
    </w:p>
    <w:p w14:paraId="04DC94B2">
      <w:pPr>
        <w:keepNext w:val="0"/>
        <w:keepLines w:val="0"/>
        <w:pageBreakBefore w:val="0"/>
        <w:wordWrap/>
        <w:overflowPunct/>
        <w:topLinePunct w:val="0"/>
        <w:bidi w:val="0"/>
        <w:spacing w:line="360" w:lineRule="auto"/>
        <w:ind w:left="0" w:right="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val="en-US" w:eastAsia="zh-CN"/>
        </w:rPr>
        <w:t>宿舍管理员8</w:t>
      </w:r>
      <w:r>
        <w:rPr>
          <w:rFonts w:hint="eastAsia" w:ascii="宋体" w:hAnsi="宋体" w:eastAsia="宋体" w:cs="宋体"/>
          <w:b/>
          <w:bCs/>
          <w:color w:val="auto"/>
          <w:sz w:val="24"/>
          <w:szCs w:val="24"/>
          <w:highlight w:val="none"/>
        </w:rPr>
        <w:t>人</w:t>
      </w:r>
      <w:r>
        <w:rPr>
          <w:rFonts w:hint="eastAsia" w:ascii="宋体" w:hAnsi="宋体" w:eastAsia="宋体" w:cs="宋体"/>
          <w:b/>
          <w:bCs/>
          <w:color w:val="auto"/>
          <w:sz w:val="24"/>
          <w:szCs w:val="24"/>
          <w:highlight w:val="none"/>
          <w:lang w:eastAsia="zh-CN"/>
        </w:rPr>
        <w:t>。</w:t>
      </w:r>
    </w:p>
    <w:p w14:paraId="7D97EC68">
      <w:pPr>
        <w:keepNext w:val="0"/>
        <w:keepLines w:val="0"/>
        <w:pageBreakBefore w:val="0"/>
        <w:wordWrap/>
        <w:overflowPunct/>
        <w:topLinePunct w:val="0"/>
        <w:bidi w:val="0"/>
        <w:spacing w:line="360" w:lineRule="auto"/>
        <w:ind w:left="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男生宿舍4</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p>
    <w:p w14:paraId="0CFB771A">
      <w:pPr>
        <w:pStyle w:val="2"/>
        <w:keepNext w:val="0"/>
        <w:keepLines w:val="0"/>
        <w:pageBreakBefore w:val="0"/>
        <w:wordWrap/>
        <w:overflowPunct/>
        <w:topLinePunct w:val="0"/>
        <w:bidi w:val="0"/>
        <w:spacing w:after="0" w:line="360" w:lineRule="auto"/>
        <w:ind w:left="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2、女生宿舍4</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p>
    <w:p w14:paraId="363D8D83">
      <w:pPr>
        <w:keepNext w:val="0"/>
        <w:keepLines w:val="0"/>
        <w:pageBreakBefore w:val="0"/>
        <w:wordWrap/>
        <w:overflowPunct/>
        <w:topLinePunct w:val="0"/>
        <w:bidi w:val="0"/>
        <w:spacing w:line="360" w:lineRule="auto"/>
        <w:ind w:left="0" w:right="0"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维修工2</w:t>
      </w:r>
      <w:r>
        <w:rPr>
          <w:rFonts w:hint="eastAsia" w:ascii="宋体" w:hAnsi="宋体" w:eastAsia="宋体" w:cs="宋体"/>
          <w:b/>
          <w:bCs/>
          <w:color w:val="auto"/>
          <w:sz w:val="24"/>
          <w:szCs w:val="24"/>
          <w:highlight w:val="none"/>
        </w:rPr>
        <w:t>人</w:t>
      </w:r>
      <w:r>
        <w:rPr>
          <w:rFonts w:hint="eastAsia" w:ascii="宋体" w:hAnsi="宋体" w:eastAsia="宋体" w:cs="宋体"/>
          <w:b/>
          <w:bCs/>
          <w:color w:val="auto"/>
          <w:sz w:val="24"/>
          <w:szCs w:val="24"/>
          <w:highlight w:val="none"/>
          <w:lang w:eastAsia="zh-CN"/>
        </w:rPr>
        <w:t>。</w:t>
      </w:r>
    </w:p>
    <w:p w14:paraId="52059B47">
      <w:pPr>
        <w:keepNext w:val="0"/>
        <w:keepLines w:val="0"/>
        <w:pageBreakBefore w:val="0"/>
        <w:wordWrap/>
        <w:overflowPunct/>
        <w:topLinePunct w:val="0"/>
        <w:bidi w:val="0"/>
        <w:spacing w:line="360" w:lineRule="auto"/>
        <w:ind w:left="0" w:right="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绿化养护1</w:t>
      </w:r>
      <w:r>
        <w:rPr>
          <w:rFonts w:hint="eastAsia" w:ascii="宋体" w:hAnsi="宋体" w:eastAsia="宋体" w:cs="宋体"/>
          <w:b/>
          <w:bCs/>
          <w:color w:val="auto"/>
          <w:sz w:val="24"/>
          <w:szCs w:val="24"/>
          <w:highlight w:val="none"/>
        </w:rPr>
        <w:t>人</w:t>
      </w:r>
      <w:r>
        <w:rPr>
          <w:rFonts w:hint="eastAsia" w:ascii="宋体" w:hAnsi="宋体" w:eastAsia="宋体" w:cs="宋体"/>
          <w:b/>
          <w:bCs/>
          <w:color w:val="auto"/>
          <w:sz w:val="24"/>
          <w:szCs w:val="24"/>
          <w:highlight w:val="none"/>
          <w:lang w:eastAsia="zh-CN"/>
        </w:rPr>
        <w:t>。</w:t>
      </w:r>
    </w:p>
    <w:p w14:paraId="5888CCBC">
      <w:pPr>
        <w:keepNext w:val="0"/>
        <w:keepLines w:val="0"/>
        <w:pageBreakBefore w:val="0"/>
        <w:wordWrap/>
        <w:overflowPunct/>
        <w:topLinePunct w:val="0"/>
        <w:bidi w:val="0"/>
        <w:spacing w:line="360" w:lineRule="auto"/>
        <w:ind w:left="0" w:right="0" w:firstLine="482" w:firstLineChars="200"/>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b/>
          <w:bCs/>
          <w:color w:val="auto"/>
          <w:sz w:val="24"/>
          <w:szCs w:val="24"/>
          <w:highlight w:val="none"/>
        </w:rPr>
        <w:t>除评分细则中要求提供的相关人员证明材料作为评分条件外，供应商在响应文件中无须提供其他人员相关证明材料，由采购人在成交供应商进场服务前核查人员配备情况，人员须按照要求配备到位，</w:t>
      </w:r>
      <w:r>
        <w:rPr>
          <w:rFonts w:hint="eastAsia" w:ascii="宋体" w:hAnsi="宋体" w:eastAsia="宋体" w:cs="宋体"/>
          <w:b/>
          <w:color w:val="auto"/>
          <w:sz w:val="24"/>
          <w:szCs w:val="24"/>
          <w:highlight w:val="none"/>
        </w:rPr>
        <w:t>如有不符采购人有权终止合同。</w:t>
      </w:r>
    </w:p>
    <w:p w14:paraId="2F0A662E">
      <w:pPr>
        <w:rPr>
          <w:rFonts w:hint="eastAsia" w:ascii="宋体" w:hAnsi="宋体" w:eastAsia="宋体" w:cs="宋体"/>
          <w:b/>
          <w:bCs/>
          <w:color w:val="auto"/>
          <w:sz w:val="24"/>
          <w:szCs w:val="24"/>
          <w:highlight w:val="none"/>
          <w:lang w:val="en-US" w:eastAsia="zh-CN"/>
        </w:rPr>
      </w:pPr>
    </w:p>
    <w:p w14:paraId="5CCD4BE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报价要求</w:t>
      </w:r>
    </w:p>
    <w:p w14:paraId="1481EFD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为本项目配备人员不得低于</w:t>
      </w:r>
      <w:r>
        <w:rPr>
          <w:rFonts w:hint="eastAsia" w:ascii="宋体" w:hAnsi="宋体" w:eastAsia="宋体" w:cs="宋体"/>
          <w:b/>
          <w:bCs/>
          <w:color w:val="auto"/>
          <w:sz w:val="24"/>
          <w:szCs w:val="24"/>
          <w:highlight w:val="none"/>
          <w:lang w:val="en-US" w:eastAsia="zh-CN"/>
        </w:rPr>
        <w:t>28</w:t>
      </w:r>
      <w:r>
        <w:rPr>
          <w:rFonts w:hint="eastAsia" w:ascii="宋体" w:hAnsi="宋体" w:eastAsia="宋体" w:cs="宋体"/>
          <w:b/>
          <w:bCs/>
          <w:color w:val="auto"/>
          <w:sz w:val="24"/>
          <w:szCs w:val="24"/>
          <w:highlight w:val="none"/>
        </w:rPr>
        <w:t>人。</w:t>
      </w:r>
    </w:p>
    <w:p w14:paraId="4A6FAA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本项目预算为102.4264万元/年</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rPr>
        <w:t>报价不得高于</w:t>
      </w:r>
      <w:r>
        <w:rPr>
          <w:rFonts w:hint="eastAsia" w:ascii="宋体" w:hAnsi="宋体" w:eastAsia="宋体" w:cs="宋体"/>
          <w:color w:val="auto"/>
          <w:sz w:val="24"/>
          <w:szCs w:val="24"/>
          <w:highlight w:val="none"/>
          <w:lang w:val="en-US" w:eastAsia="zh-CN"/>
        </w:rPr>
        <w:t>102.4264万元/年</w:t>
      </w:r>
      <w:r>
        <w:rPr>
          <w:rFonts w:hint="eastAsia" w:ascii="宋体" w:hAnsi="宋体" w:eastAsia="宋体" w:cs="宋体"/>
          <w:color w:val="auto"/>
          <w:sz w:val="24"/>
          <w:szCs w:val="24"/>
          <w:highlight w:val="none"/>
          <w:lang w:val="en-US"/>
        </w:rPr>
        <w:t>，</w:t>
      </w:r>
      <w:r>
        <w:rPr>
          <w:rFonts w:hint="eastAsia" w:ascii="宋体" w:hAnsi="宋体" w:eastAsia="宋体" w:cs="宋体"/>
          <w:b/>
          <w:bCs/>
          <w:color w:val="auto"/>
          <w:sz w:val="24"/>
          <w:szCs w:val="24"/>
          <w:highlight w:val="none"/>
          <w:shd w:val="clear" w:color="auto" w:fill="FFFFFF"/>
          <w:lang w:val="en-US" w:eastAsia="zh-CN"/>
        </w:rPr>
        <w:t>否则按响应无效处理</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lang w:val="en-US"/>
        </w:rPr>
        <w:t>报价包含每年完成本项目所有内容的费用，采购人后期不再追加任何费用，</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rPr>
        <w:t>在报价时应做充分考虑。</w:t>
      </w:r>
    </w:p>
    <w:p w14:paraId="5A235B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一般规模纳税人：</w:t>
      </w:r>
    </w:p>
    <w:tbl>
      <w:tblPr>
        <w:tblStyle w:val="7"/>
        <w:tblW w:w="8253"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876"/>
        <w:gridCol w:w="794"/>
        <w:gridCol w:w="1128"/>
        <w:gridCol w:w="1079"/>
        <w:gridCol w:w="2566"/>
      </w:tblGrid>
      <w:tr w14:paraId="6EB06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379DE9C5">
            <w:pPr>
              <w:spacing w:line="360" w:lineRule="auto"/>
              <w:ind w:firstLine="240" w:firstLineChars="100"/>
              <w:rPr>
                <w:rFonts w:hint="eastAsia" w:ascii="宋体" w:hAnsi="宋体" w:eastAsia="宋体" w:cs="宋体"/>
                <w:bCs/>
                <w:color w:val="auto"/>
                <w:sz w:val="24"/>
                <w:szCs w:val="24"/>
                <w:highlight w:val="none"/>
              </w:rPr>
            </w:pPr>
          </w:p>
        </w:tc>
        <w:tc>
          <w:tcPr>
            <w:tcW w:w="1876" w:type="dxa"/>
            <w:tcBorders>
              <w:top w:val="single" w:color="000000" w:sz="2" w:space="0"/>
              <w:left w:val="single" w:color="000000" w:sz="2" w:space="0"/>
              <w:bottom w:val="single" w:color="000000" w:sz="2" w:space="0"/>
              <w:right w:val="single" w:color="000000" w:sz="2" w:space="0"/>
            </w:tcBorders>
            <w:noWrap w:val="0"/>
            <w:vAlign w:val="top"/>
          </w:tcPr>
          <w:p w14:paraId="4805D077">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缴费项目</w:t>
            </w:r>
          </w:p>
        </w:tc>
        <w:tc>
          <w:tcPr>
            <w:tcW w:w="794" w:type="dxa"/>
            <w:tcBorders>
              <w:top w:val="single" w:color="000000" w:sz="2" w:space="0"/>
              <w:left w:val="single" w:color="000000" w:sz="2" w:space="0"/>
              <w:bottom w:val="single" w:color="000000" w:sz="2" w:space="0"/>
              <w:right w:val="single" w:color="000000" w:sz="2" w:space="0"/>
            </w:tcBorders>
            <w:noWrap w:val="0"/>
            <w:vAlign w:val="top"/>
          </w:tcPr>
          <w:p w14:paraId="7EAD78D0">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人数</w:t>
            </w:r>
          </w:p>
        </w:tc>
        <w:tc>
          <w:tcPr>
            <w:tcW w:w="1128" w:type="dxa"/>
            <w:tcBorders>
              <w:top w:val="single" w:color="000000" w:sz="2" w:space="0"/>
              <w:left w:val="single" w:color="000000" w:sz="2" w:space="0"/>
              <w:bottom w:val="single" w:color="000000" w:sz="2" w:space="0"/>
              <w:right w:val="single" w:color="000000" w:sz="2" w:space="0"/>
            </w:tcBorders>
            <w:noWrap w:val="0"/>
            <w:vAlign w:val="top"/>
          </w:tcPr>
          <w:p w14:paraId="6AF9FA88">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费用</w:t>
            </w:r>
          </w:p>
        </w:tc>
        <w:tc>
          <w:tcPr>
            <w:tcW w:w="1079" w:type="dxa"/>
            <w:tcBorders>
              <w:top w:val="single" w:color="000000" w:sz="2" w:space="0"/>
              <w:left w:val="single" w:color="000000" w:sz="2" w:space="0"/>
              <w:bottom w:val="single" w:color="000000" w:sz="2" w:space="0"/>
              <w:right w:val="single" w:color="000000" w:sz="2" w:space="0"/>
            </w:tcBorders>
            <w:noWrap w:val="0"/>
            <w:vAlign w:val="top"/>
          </w:tcPr>
          <w:p w14:paraId="7D4A0797">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月</w:t>
            </w:r>
          </w:p>
        </w:tc>
        <w:tc>
          <w:tcPr>
            <w:tcW w:w="2566" w:type="dxa"/>
            <w:tcBorders>
              <w:top w:val="single" w:color="000000" w:sz="2" w:space="0"/>
              <w:left w:val="single" w:color="000000" w:sz="2" w:space="0"/>
              <w:bottom w:val="single" w:color="000000" w:sz="2" w:space="0"/>
              <w:right w:val="single" w:color="000000" w:sz="2" w:space="0"/>
            </w:tcBorders>
            <w:noWrap w:val="0"/>
            <w:vAlign w:val="top"/>
          </w:tcPr>
          <w:p w14:paraId="57A4B8AD">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小计(单位：元)</w:t>
            </w:r>
          </w:p>
        </w:tc>
      </w:tr>
      <w:tr w14:paraId="6CBE4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57296DDE">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w:t>
            </w:r>
          </w:p>
        </w:tc>
        <w:tc>
          <w:tcPr>
            <w:tcW w:w="1876" w:type="dxa"/>
            <w:tcBorders>
              <w:top w:val="single" w:color="000000" w:sz="2" w:space="0"/>
              <w:left w:val="single" w:color="000000" w:sz="2" w:space="0"/>
              <w:bottom w:val="single" w:color="000000" w:sz="2" w:space="0"/>
              <w:right w:val="single" w:color="000000" w:sz="2" w:space="0"/>
            </w:tcBorders>
            <w:noWrap w:val="0"/>
            <w:vAlign w:val="bottom"/>
          </w:tcPr>
          <w:p w14:paraId="42DDD82B">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最低人员工资</w:t>
            </w:r>
          </w:p>
        </w:tc>
        <w:tc>
          <w:tcPr>
            <w:tcW w:w="794" w:type="dxa"/>
            <w:tcBorders>
              <w:top w:val="single" w:color="000000" w:sz="2" w:space="0"/>
              <w:left w:val="single" w:color="000000" w:sz="2" w:space="0"/>
              <w:bottom w:val="single" w:color="000000" w:sz="2" w:space="0"/>
              <w:right w:val="single" w:color="000000" w:sz="2" w:space="0"/>
            </w:tcBorders>
            <w:noWrap w:val="0"/>
            <w:vAlign w:val="bottom"/>
          </w:tcPr>
          <w:p w14:paraId="60C52CCB">
            <w:pPr>
              <w:keepNext w:val="0"/>
              <w:keepLines w:val="0"/>
              <w:widowControl/>
              <w:suppressLineNumbers w:val="0"/>
              <w:jc w:val="center"/>
              <w:textAlignment w:val="bottom"/>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28</w:t>
            </w:r>
          </w:p>
        </w:tc>
        <w:tc>
          <w:tcPr>
            <w:tcW w:w="1128" w:type="dxa"/>
            <w:tcBorders>
              <w:top w:val="single" w:color="000000" w:sz="2" w:space="0"/>
              <w:left w:val="single" w:color="000000" w:sz="2" w:space="0"/>
              <w:bottom w:val="single" w:color="000000" w:sz="2" w:space="0"/>
              <w:right w:val="single" w:color="000000" w:sz="2" w:space="0"/>
            </w:tcBorders>
            <w:noWrap w:val="0"/>
            <w:vAlign w:val="bottom"/>
          </w:tcPr>
          <w:p w14:paraId="43F6C0D5">
            <w:pPr>
              <w:keepNext w:val="0"/>
              <w:keepLines w:val="0"/>
              <w:widowControl/>
              <w:suppressLineNumbers w:val="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1870</w:t>
            </w:r>
          </w:p>
        </w:tc>
        <w:tc>
          <w:tcPr>
            <w:tcW w:w="1079" w:type="dxa"/>
            <w:tcBorders>
              <w:top w:val="single" w:color="000000" w:sz="2" w:space="0"/>
              <w:left w:val="single" w:color="000000" w:sz="2" w:space="0"/>
              <w:bottom w:val="single" w:color="000000" w:sz="2" w:space="0"/>
              <w:right w:val="single" w:color="000000" w:sz="2" w:space="0"/>
            </w:tcBorders>
            <w:noWrap w:val="0"/>
            <w:vAlign w:val="bottom"/>
          </w:tcPr>
          <w:p w14:paraId="14FB56FA">
            <w:pPr>
              <w:keepNext w:val="0"/>
              <w:keepLines w:val="0"/>
              <w:widowControl/>
              <w:suppressLineNumbers w:val="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6A9F7383">
            <w:pPr>
              <w:keepNext w:val="0"/>
              <w:keepLines w:val="0"/>
              <w:widowControl/>
              <w:suppressLineNumbers w:val="0"/>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628320</w:t>
            </w:r>
          </w:p>
        </w:tc>
      </w:tr>
      <w:tr w14:paraId="7CD75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76B74555">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w:t>
            </w:r>
          </w:p>
        </w:tc>
        <w:tc>
          <w:tcPr>
            <w:tcW w:w="1876" w:type="dxa"/>
            <w:tcBorders>
              <w:top w:val="single" w:color="000000" w:sz="2" w:space="0"/>
              <w:left w:val="single" w:color="000000" w:sz="2" w:space="0"/>
              <w:bottom w:val="single" w:color="000000" w:sz="2" w:space="0"/>
              <w:right w:val="single" w:color="000000" w:sz="2" w:space="0"/>
            </w:tcBorders>
            <w:noWrap w:val="0"/>
            <w:vAlign w:val="bottom"/>
          </w:tcPr>
          <w:p w14:paraId="093C19CA">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社会保险</w:t>
            </w:r>
          </w:p>
        </w:tc>
        <w:tc>
          <w:tcPr>
            <w:tcW w:w="794" w:type="dxa"/>
            <w:tcBorders>
              <w:top w:val="single" w:color="000000" w:sz="2" w:space="0"/>
              <w:left w:val="single" w:color="000000" w:sz="2" w:space="0"/>
              <w:bottom w:val="single" w:color="000000" w:sz="2" w:space="0"/>
              <w:right w:val="single" w:color="000000" w:sz="2" w:space="0"/>
            </w:tcBorders>
            <w:noWrap w:val="0"/>
            <w:vAlign w:val="bottom"/>
          </w:tcPr>
          <w:p w14:paraId="6B6F42B9">
            <w:pPr>
              <w:keepNext w:val="0"/>
              <w:keepLines w:val="0"/>
              <w:widowControl/>
              <w:suppressLineNumbers w:val="0"/>
              <w:jc w:val="center"/>
              <w:textAlignment w:val="bottom"/>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28</w:t>
            </w:r>
          </w:p>
        </w:tc>
        <w:tc>
          <w:tcPr>
            <w:tcW w:w="1128" w:type="dxa"/>
            <w:tcBorders>
              <w:top w:val="single" w:color="000000" w:sz="2" w:space="0"/>
              <w:left w:val="single" w:color="000000" w:sz="2" w:space="0"/>
              <w:bottom w:val="single" w:color="000000" w:sz="2" w:space="0"/>
              <w:right w:val="single" w:color="000000" w:sz="2" w:space="0"/>
            </w:tcBorders>
            <w:noWrap w:val="0"/>
            <w:vAlign w:val="bottom"/>
          </w:tcPr>
          <w:p w14:paraId="1A3102D0">
            <w:pPr>
              <w:keepNext w:val="0"/>
              <w:keepLines w:val="0"/>
              <w:widowControl/>
              <w:suppressLineNumbers w:val="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984.891</w:t>
            </w:r>
          </w:p>
        </w:tc>
        <w:tc>
          <w:tcPr>
            <w:tcW w:w="1079" w:type="dxa"/>
            <w:tcBorders>
              <w:top w:val="single" w:color="000000" w:sz="2" w:space="0"/>
              <w:left w:val="single" w:color="000000" w:sz="2" w:space="0"/>
              <w:bottom w:val="single" w:color="000000" w:sz="2" w:space="0"/>
              <w:right w:val="single" w:color="000000" w:sz="2" w:space="0"/>
            </w:tcBorders>
            <w:noWrap w:val="0"/>
            <w:vAlign w:val="bottom"/>
          </w:tcPr>
          <w:p w14:paraId="07A46E5B">
            <w:pPr>
              <w:keepNext w:val="0"/>
              <w:keepLines w:val="0"/>
              <w:widowControl/>
              <w:suppressLineNumbers w:val="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6844BC33">
            <w:pPr>
              <w:keepNext w:val="0"/>
              <w:keepLines w:val="0"/>
              <w:widowControl/>
              <w:suppressLineNumbers w:val="0"/>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330923.376</w:t>
            </w:r>
          </w:p>
        </w:tc>
      </w:tr>
      <w:tr w14:paraId="426FF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221E31C8">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w:t>
            </w:r>
          </w:p>
        </w:tc>
        <w:tc>
          <w:tcPr>
            <w:tcW w:w="4877" w:type="dxa"/>
            <w:gridSpan w:val="4"/>
            <w:tcBorders>
              <w:top w:val="single" w:color="000000" w:sz="2" w:space="0"/>
              <w:left w:val="single" w:color="000000" w:sz="2" w:space="0"/>
              <w:bottom w:val="single" w:color="000000" w:sz="2" w:space="0"/>
              <w:right w:val="single" w:color="000000" w:sz="2" w:space="0"/>
            </w:tcBorders>
            <w:noWrap w:val="0"/>
            <w:vAlign w:val="center"/>
          </w:tcPr>
          <w:p w14:paraId="2BC9C6C6">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税金=（A+B）×6.72%</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0B160E9D">
            <w:pPr>
              <w:keepNext w:val="0"/>
              <w:keepLines w:val="0"/>
              <w:widowControl/>
              <w:suppressLineNumbers w:val="0"/>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64461.15487</w:t>
            </w:r>
          </w:p>
        </w:tc>
      </w:tr>
      <w:tr w14:paraId="2BC08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58571997">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w:t>
            </w:r>
          </w:p>
        </w:tc>
        <w:tc>
          <w:tcPr>
            <w:tcW w:w="4877" w:type="dxa"/>
            <w:gridSpan w:val="4"/>
            <w:tcBorders>
              <w:top w:val="single" w:color="000000" w:sz="2" w:space="0"/>
              <w:left w:val="single" w:color="000000" w:sz="2" w:space="0"/>
              <w:bottom w:val="single" w:color="000000" w:sz="2" w:space="0"/>
              <w:right w:val="single" w:color="000000" w:sz="2" w:space="0"/>
            </w:tcBorders>
            <w:noWrap w:val="0"/>
            <w:vAlign w:val="center"/>
          </w:tcPr>
          <w:p w14:paraId="4ED987D7">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总计（A+B+C）</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6177DA25">
            <w:pPr>
              <w:keepNext w:val="0"/>
              <w:keepLines w:val="0"/>
              <w:widowControl/>
              <w:suppressLineNumbers w:val="0"/>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1023704.53</w:t>
            </w:r>
          </w:p>
        </w:tc>
      </w:tr>
      <w:tr w14:paraId="00BBD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253" w:type="dxa"/>
            <w:gridSpan w:val="6"/>
            <w:tcBorders>
              <w:top w:val="single" w:color="000000" w:sz="2" w:space="0"/>
              <w:left w:val="single" w:color="000000" w:sz="2" w:space="0"/>
              <w:bottom w:val="single" w:color="000000" w:sz="2" w:space="0"/>
              <w:right w:val="single" w:color="000000" w:sz="2" w:space="0"/>
            </w:tcBorders>
            <w:noWrap w:val="0"/>
            <w:vAlign w:val="top"/>
          </w:tcPr>
          <w:p w14:paraId="0CBBCFC4">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注：报价精确到小数点后两位，四舍五入。</w:t>
            </w:r>
          </w:p>
        </w:tc>
      </w:tr>
    </w:tbl>
    <w:p w14:paraId="16D197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小规模纳税人：</w:t>
      </w:r>
    </w:p>
    <w:tbl>
      <w:tblPr>
        <w:tblStyle w:val="7"/>
        <w:tblW w:w="8253"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876"/>
        <w:gridCol w:w="794"/>
        <w:gridCol w:w="1128"/>
        <w:gridCol w:w="1079"/>
        <w:gridCol w:w="2566"/>
      </w:tblGrid>
      <w:tr w14:paraId="1A540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688BA702">
            <w:pPr>
              <w:spacing w:line="360" w:lineRule="auto"/>
              <w:ind w:firstLine="240" w:firstLineChars="100"/>
              <w:rPr>
                <w:rFonts w:hint="eastAsia" w:ascii="宋体" w:hAnsi="宋体" w:eastAsia="宋体" w:cs="宋体"/>
                <w:bCs/>
                <w:color w:val="auto"/>
                <w:sz w:val="24"/>
                <w:szCs w:val="24"/>
                <w:highlight w:val="none"/>
              </w:rPr>
            </w:pPr>
          </w:p>
        </w:tc>
        <w:tc>
          <w:tcPr>
            <w:tcW w:w="1876" w:type="dxa"/>
            <w:tcBorders>
              <w:top w:val="single" w:color="000000" w:sz="2" w:space="0"/>
              <w:left w:val="single" w:color="000000" w:sz="2" w:space="0"/>
              <w:bottom w:val="single" w:color="000000" w:sz="2" w:space="0"/>
              <w:right w:val="single" w:color="000000" w:sz="2" w:space="0"/>
            </w:tcBorders>
            <w:noWrap w:val="0"/>
            <w:vAlign w:val="top"/>
          </w:tcPr>
          <w:p w14:paraId="74EA652C">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缴费项目</w:t>
            </w:r>
          </w:p>
        </w:tc>
        <w:tc>
          <w:tcPr>
            <w:tcW w:w="794" w:type="dxa"/>
            <w:tcBorders>
              <w:top w:val="single" w:color="000000" w:sz="2" w:space="0"/>
              <w:left w:val="single" w:color="000000" w:sz="2" w:space="0"/>
              <w:bottom w:val="single" w:color="000000" w:sz="2" w:space="0"/>
              <w:right w:val="single" w:color="000000" w:sz="2" w:space="0"/>
            </w:tcBorders>
            <w:noWrap w:val="0"/>
            <w:vAlign w:val="top"/>
          </w:tcPr>
          <w:p w14:paraId="4FD20081">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人数</w:t>
            </w:r>
          </w:p>
        </w:tc>
        <w:tc>
          <w:tcPr>
            <w:tcW w:w="1128" w:type="dxa"/>
            <w:tcBorders>
              <w:top w:val="single" w:color="000000" w:sz="2" w:space="0"/>
              <w:left w:val="single" w:color="000000" w:sz="2" w:space="0"/>
              <w:bottom w:val="single" w:color="000000" w:sz="2" w:space="0"/>
              <w:right w:val="single" w:color="000000" w:sz="2" w:space="0"/>
            </w:tcBorders>
            <w:noWrap w:val="0"/>
            <w:vAlign w:val="top"/>
          </w:tcPr>
          <w:p w14:paraId="349326BE">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费用</w:t>
            </w:r>
          </w:p>
        </w:tc>
        <w:tc>
          <w:tcPr>
            <w:tcW w:w="1079" w:type="dxa"/>
            <w:tcBorders>
              <w:top w:val="single" w:color="000000" w:sz="2" w:space="0"/>
              <w:left w:val="single" w:color="000000" w:sz="2" w:space="0"/>
              <w:bottom w:val="single" w:color="000000" w:sz="2" w:space="0"/>
              <w:right w:val="single" w:color="000000" w:sz="2" w:space="0"/>
            </w:tcBorders>
            <w:noWrap w:val="0"/>
            <w:vAlign w:val="top"/>
          </w:tcPr>
          <w:p w14:paraId="12393128">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月</w:t>
            </w:r>
          </w:p>
        </w:tc>
        <w:tc>
          <w:tcPr>
            <w:tcW w:w="2566" w:type="dxa"/>
            <w:tcBorders>
              <w:top w:val="single" w:color="000000" w:sz="2" w:space="0"/>
              <w:left w:val="single" w:color="000000" w:sz="2" w:space="0"/>
              <w:bottom w:val="single" w:color="000000" w:sz="2" w:space="0"/>
              <w:right w:val="single" w:color="000000" w:sz="2" w:space="0"/>
            </w:tcBorders>
            <w:noWrap w:val="0"/>
            <w:vAlign w:val="top"/>
          </w:tcPr>
          <w:p w14:paraId="416DD0E8">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小计(单位：元)</w:t>
            </w:r>
          </w:p>
        </w:tc>
      </w:tr>
      <w:tr w14:paraId="2F3B2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5295840B">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w:t>
            </w:r>
          </w:p>
        </w:tc>
        <w:tc>
          <w:tcPr>
            <w:tcW w:w="1876" w:type="dxa"/>
            <w:tcBorders>
              <w:top w:val="single" w:color="000000" w:sz="2" w:space="0"/>
              <w:left w:val="single" w:color="000000" w:sz="2" w:space="0"/>
              <w:bottom w:val="single" w:color="000000" w:sz="2" w:space="0"/>
              <w:right w:val="single" w:color="000000" w:sz="2" w:space="0"/>
            </w:tcBorders>
            <w:noWrap w:val="0"/>
            <w:vAlign w:val="bottom"/>
          </w:tcPr>
          <w:p w14:paraId="14EB6B5C">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最低人员工资</w:t>
            </w:r>
          </w:p>
        </w:tc>
        <w:tc>
          <w:tcPr>
            <w:tcW w:w="794" w:type="dxa"/>
            <w:tcBorders>
              <w:top w:val="single" w:color="000000" w:sz="2" w:space="0"/>
              <w:left w:val="single" w:color="000000" w:sz="2" w:space="0"/>
              <w:bottom w:val="single" w:color="000000" w:sz="2" w:space="0"/>
              <w:right w:val="single" w:color="000000" w:sz="2" w:space="0"/>
            </w:tcBorders>
            <w:noWrap w:val="0"/>
            <w:vAlign w:val="bottom"/>
          </w:tcPr>
          <w:p w14:paraId="574707B3">
            <w:pPr>
              <w:keepNext w:val="0"/>
              <w:keepLines w:val="0"/>
              <w:widowControl/>
              <w:suppressLineNumbers w:val="0"/>
              <w:jc w:val="center"/>
              <w:textAlignment w:val="bottom"/>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28</w:t>
            </w:r>
          </w:p>
        </w:tc>
        <w:tc>
          <w:tcPr>
            <w:tcW w:w="1128" w:type="dxa"/>
            <w:tcBorders>
              <w:top w:val="single" w:color="000000" w:sz="2" w:space="0"/>
              <w:left w:val="single" w:color="000000" w:sz="2" w:space="0"/>
              <w:bottom w:val="single" w:color="000000" w:sz="2" w:space="0"/>
              <w:right w:val="single" w:color="000000" w:sz="2" w:space="0"/>
            </w:tcBorders>
            <w:noWrap w:val="0"/>
            <w:vAlign w:val="bottom"/>
          </w:tcPr>
          <w:p w14:paraId="524B9D4E">
            <w:pPr>
              <w:keepNext w:val="0"/>
              <w:keepLines w:val="0"/>
              <w:widowControl/>
              <w:suppressLineNumbers w:val="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1870</w:t>
            </w:r>
          </w:p>
        </w:tc>
        <w:tc>
          <w:tcPr>
            <w:tcW w:w="1079" w:type="dxa"/>
            <w:tcBorders>
              <w:top w:val="single" w:color="000000" w:sz="2" w:space="0"/>
              <w:left w:val="single" w:color="000000" w:sz="2" w:space="0"/>
              <w:bottom w:val="single" w:color="000000" w:sz="2" w:space="0"/>
              <w:right w:val="single" w:color="000000" w:sz="2" w:space="0"/>
            </w:tcBorders>
            <w:noWrap w:val="0"/>
            <w:vAlign w:val="bottom"/>
          </w:tcPr>
          <w:p w14:paraId="5904AA1C">
            <w:pPr>
              <w:keepNext w:val="0"/>
              <w:keepLines w:val="0"/>
              <w:widowControl/>
              <w:suppressLineNumbers w:val="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45788F98">
            <w:pPr>
              <w:keepNext w:val="0"/>
              <w:keepLines w:val="0"/>
              <w:widowControl/>
              <w:suppressLineNumbers w:val="0"/>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628320</w:t>
            </w:r>
          </w:p>
        </w:tc>
      </w:tr>
      <w:tr w14:paraId="5CB09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019E2721">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w:t>
            </w:r>
          </w:p>
        </w:tc>
        <w:tc>
          <w:tcPr>
            <w:tcW w:w="1876" w:type="dxa"/>
            <w:tcBorders>
              <w:top w:val="single" w:color="000000" w:sz="2" w:space="0"/>
              <w:left w:val="single" w:color="000000" w:sz="2" w:space="0"/>
              <w:bottom w:val="single" w:color="000000" w:sz="2" w:space="0"/>
              <w:right w:val="single" w:color="000000" w:sz="2" w:space="0"/>
            </w:tcBorders>
            <w:noWrap w:val="0"/>
            <w:vAlign w:val="bottom"/>
          </w:tcPr>
          <w:p w14:paraId="4E19AF83">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社会保险</w:t>
            </w:r>
          </w:p>
        </w:tc>
        <w:tc>
          <w:tcPr>
            <w:tcW w:w="794" w:type="dxa"/>
            <w:tcBorders>
              <w:top w:val="single" w:color="000000" w:sz="2" w:space="0"/>
              <w:left w:val="single" w:color="000000" w:sz="2" w:space="0"/>
              <w:bottom w:val="single" w:color="000000" w:sz="2" w:space="0"/>
              <w:right w:val="single" w:color="000000" w:sz="2" w:space="0"/>
            </w:tcBorders>
            <w:noWrap w:val="0"/>
            <w:vAlign w:val="bottom"/>
          </w:tcPr>
          <w:p w14:paraId="2A8EB934">
            <w:pPr>
              <w:keepNext w:val="0"/>
              <w:keepLines w:val="0"/>
              <w:widowControl/>
              <w:suppressLineNumbers w:val="0"/>
              <w:jc w:val="center"/>
              <w:textAlignment w:val="bottom"/>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28</w:t>
            </w:r>
          </w:p>
        </w:tc>
        <w:tc>
          <w:tcPr>
            <w:tcW w:w="1128" w:type="dxa"/>
            <w:tcBorders>
              <w:top w:val="single" w:color="000000" w:sz="2" w:space="0"/>
              <w:left w:val="single" w:color="000000" w:sz="2" w:space="0"/>
              <w:bottom w:val="single" w:color="000000" w:sz="2" w:space="0"/>
              <w:right w:val="single" w:color="000000" w:sz="2" w:space="0"/>
            </w:tcBorders>
            <w:noWrap w:val="0"/>
            <w:vAlign w:val="bottom"/>
          </w:tcPr>
          <w:p w14:paraId="247C5608">
            <w:pPr>
              <w:keepNext w:val="0"/>
              <w:keepLines w:val="0"/>
              <w:widowControl/>
              <w:suppressLineNumbers w:val="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984.891</w:t>
            </w:r>
          </w:p>
        </w:tc>
        <w:tc>
          <w:tcPr>
            <w:tcW w:w="1079" w:type="dxa"/>
            <w:tcBorders>
              <w:top w:val="single" w:color="000000" w:sz="2" w:space="0"/>
              <w:left w:val="single" w:color="000000" w:sz="2" w:space="0"/>
              <w:bottom w:val="single" w:color="000000" w:sz="2" w:space="0"/>
              <w:right w:val="single" w:color="000000" w:sz="2" w:space="0"/>
            </w:tcBorders>
            <w:noWrap w:val="0"/>
            <w:vAlign w:val="bottom"/>
          </w:tcPr>
          <w:p w14:paraId="59767CD7">
            <w:pPr>
              <w:keepNext w:val="0"/>
              <w:keepLines w:val="0"/>
              <w:widowControl/>
              <w:suppressLineNumbers w:val="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4584884E">
            <w:pPr>
              <w:keepNext w:val="0"/>
              <w:keepLines w:val="0"/>
              <w:widowControl/>
              <w:suppressLineNumbers w:val="0"/>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330923.376</w:t>
            </w:r>
          </w:p>
        </w:tc>
      </w:tr>
      <w:tr w14:paraId="10CF3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7E81CC23">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w:t>
            </w:r>
          </w:p>
        </w:tc>
        <w:tc>
          <w:tcPr>
            <w:tcW w:w="4877" w:type="dxa"/>
            <w:gridSpan w:val="4"/>
            <w:tcBorders>
              <w:top w:val="single" w:color="000000" w:sz="2" w:space="0"/>
              <w:left w:val="single" w:color="000000" w:sz="2" w:space="0"/>
              <w:bottom w:val="single" w:color="000000" w:sz="2" w:space="0"/>
              <w:right w:val="single" w:color="000000" w:sz="2" w:space="0"/>
            </w:tcBorders>
            <w:noWrap w:val="0"/>
            <w:vAlign w:val="center"/>
          </w:tcPr>
          <w:p w14:paraId="4E584687">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税金=（A+B）×3.36%</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251F4228">
            <w:pPr>
              <w:keepNext w:val="0"/>
              <w:keepLines w:val="0"/>
              <w:widowControl/>
              <w:suppressLineNumbers w:val="0"/>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32230.57743</w:t>
            </w:r>
          </w:p>
        </w:tc>
      </w:tr>
      <w:tr w14:paraId="392C8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636CCA3B">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w:t>
            </w:r>
          </w:p>
        </w:tc>
        <w:tc>
          <w:tcPr>
            <w:tcW w:w="4877" w:type="dxa"/>
            <w:gridSpan w:val="4"/>
            <w:tcBorders>
              <w:top w:val="single" w:color="000000" w:sz="2" w:space="0"/>
              <w:left w:val="single" w:color="000000" w:sz="2" w:space="0"/>
              <w:bottom w:val="single" w:color="000000" w:sz="2" w:space="0"/>
              <w:right w:val="single" w:color="000000" w:sz="2" w:space="0"/>
            </w:tcBorders>
            <w:noWrap w:val="0"/>
            <w:vAlign w:val="center"/>
          </w:tcPr>
          <w:p w14:paraId="5F64B967">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总计（A+B+C）</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4C4AB3D3">
            <w:pPr>
              <w:keepNext w:val="0"/>
              <w:keepLines w:val="0"/>
              <w:widowControl/>
              <w:suppressLineNumbers w:val="0"/>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991473.95</w:t>
            </w:r>
          </w:p>
        </w:tc>
      </w:tr>
      <w:tr w14:paraId="335BF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253" w:type="dxa"/>
            <w:gridSpan w:val="6"/>
            <w:tcBorders>
              <w:top w:val="single" w:color="000000" w:sz="2" w:space="0"/>
              <w:left w:val="single" w:color="000000" w:sz="2" w:space="0"/>
              <w:bottom w:val="single" w:color="000000" w:sz="2" w:space="0"/>
              <w:right w:val="single" w:color="000000" w:sz="2" w:space="0"/>
            </w:tcBorders>
            <w:noWrap w:val="0"/>
            <w:vAlign w:val="top"/>
          </w:tcPr>
          <w:p w14:paraId="5BA8D493">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注：报价精确到小数点后两位，四舍五入。</w:t>
            </w:r>
          </w:p>
        </w:tc>
      </w:tr>
    </w:tbl>
    <w:p w14:paraId="7094D903">
      <w:pPr>
        <w:keepNext w:val="0"/>
        <w:keepLines w:val="0"/>
        <w:pageBreakBefore w:val="0"/>
        <w:widowControl w:val="0"/>
        <w:kinsoku/>
        <w:wordWrap/>
        <w:overflowPunct/>
        <w:topLinePunct w:val="0"/>
        <w:autoSpaceDE/>
        <w:autoSpaceDN/>
        <w:bidi w:val="0"/>
        <w:adjustRightInd/>
        <w:snapToGrid/>
        <w:spacing w:line="360" w:lineRule="auto"/>
        <w:ind w:right="0" w:firstLine="428"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pacing w:val="-13"/>
          <w:sz w:val="24"/>
          <w:szCs w:val="24"/>
          <w:highlight w:val="none"/>
        </w:rPr>
        <w:t>备注：</w:t>
      </w:r>
    </w:p>
    <w:p w14:paraId="722A8C3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1）人员工资不低于肥东县最低工资标准（1870元/人/月），保险按国家相关规定执行。成本核算时所有配备的人员都应计算保险部分。</w:t>
      </w:r>
    </w:p>
    <w:p w14:paraId="3ADC49D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2)社会保险（五险）缴费基数最低为4227元，计算缴费金额以每人每月为基数。社会保险（五险）企业缴纳费用（缴费费率：23.3%）组成为：养老保险16%、工伤保险0.4%、失业保险0.5%、医疗保险6.4%。</w:t>
      </w:r>
    </w:p>
    <w:p w14:paraId="0AB79E7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3）一般纳税人税金费率6.72%，小规模纳税人税金3.36%，如供应商以小规模纳税人税金费率报价，响应文件中需提供税务部门出具的小规模纳税人证明材料（如：企业税种核定材料等），</w:t>
      </w:r>
      <w:r>
        <w:rPr>
          <w:rFonts w:hint="eastAsia" w:cs="宋体" w:asciiTheme="minorEastAsia" w:hAnsiTheme="minorEastAsia" w:eastAsiaTheme="minorEastAsia"/>
          <w:b/>
          <w:bCs/>
          <w:color w:val="auto"/>
          <w:sz w:val="24"/>
          <w:szCs w:val="24"/>
          <w:highlight w:val="none"/>
          <w:lang w:eastAsia="zh-CN"/>
        </w:rPr>
        <w:t>否则按无效响应处理</w:t>
      </w:r>
      <w:r>
        <w:rPr>
          <w:rFonts w:hint="eastAsia" w:cs="宋体" w:asciiTheme="minorEastAsia" w:hAnsiTheme="minorEastAsia" w:eastAsiaTheme="minorEastAsia"/>
          <w:color w:val="auto"/>
          <w:sz w:val="24"/>
          <w:szCs w:val="24"/>
          <w:highlight w:val="none"/>
          <w:lang w:eastAsia="zh-CN"/>
        </w:rPr>
        <w:t>。</w:t>
      </w:r>
    </w:p>
    <w:p w14:paraId="09350B5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4)请供应商自行核算以上政策性费用及规定费用，如供应商对以上费用有疑问，请在本项目答疑期内提出。如无疑问，报价应不低于上述对应政策性费用及规定费用，</w:t>
      </w:r>
      <w:r>
        <w:rPr>
          <w:rFonts w:hint="eastAsia" w:cs="宋体" w:asciiTheme="minorEastAsia" w:hAnsiTheme="minorEastAsia" w:eastAsiaTheme="minorEastAsia"/>
          <w:b/>
          <w:bCs/>
          <w:color w:val="auto"/>
          <w:sz w:val="24"/>
          <w:szCs w:val="24"/>
          <w:highlight w:val="none"/>
          <w:lang w:eastAsia="zh-CN"/>
        </w:rPr>
        <w:t>否则按无效响应处理</w:t>
      </w:r>
      <w:r>
        <w:rPr>
          <w:rFonts w:hint="eastAsia" w:cs="宋体" w:asciiTheme="minorEastAsia" w:hAnsiTheme="minorEastAsia" w:eastAsiaTheme="minorEastAsia"/>
          <w:color w:val="auto"/>
          <w:sz w:val="24"/>
          <w:szCs w:val="24"/>
          <w:highlight w:val="none"/>
          <w:lang w:eastAsia="zh-CN"/>
        </w:rPr>
        <w:t>。</w:t>
      </w:r>
    </w:p>
    <w:p w14:paraId="0473A51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5)政策性费用及规定费用不接受赠送及优惠，其他项作为可竞争费用，可由供应商自行报价。</w:t>
      </w:r>
    </w:p>
    <w:p w14:paraId="1465043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6）供应商应考虑合同期内政策性费用调整的风险。报价应考虑肥东县最低工资标准上调等风险，履约期限内不得以最低工资标准上调以及物价上涨等理由增加管理费用。</w:t>
      </w:r>
    </w:p>
    <w:p w14:paraId="47D3A9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b/>
          <w:color w:val="auto"/>
          <w:sz w:val="24"/>
          <w:szCs w:val="18"/>
          <w:highlight w:val="none"/>
          <w:lang w:val="en-US" w:eastAsia="zh-CN"/>
        </w:rPr>
      </w:pPr>
      <w:r>
        <w:rPr>
          <w:rFonts w:hint="eastAsia" w:cs="宋体" w:asciiTheme="minorEastAsia" w:hAnsiTheme="minorEastAsia" w:eastAsiaTheme="minorEastAsia"/>
          <w:color w:val="auto"/>
          <w:sz w:val="24"/>
          <w:szCs w:val="24"/>
          <w:highlight w:val="none"/>
          <w:lang w:eastAsia="zh-CN"/>
        </w:rPr>
        <w:t>7）合同签订时采购人将核对成交供应商为本项目配备的所有人员信息，采购人将严格按照成交供应商响应文件中提供的相关人员信息进行核对，如存在不符合情形，采购人将按照成交供应商虚假响应上报肥东县</w:t>
      </w:r>
      <w:r>
        <w:rPr>
          <w:rFonts w:hint="eastAsia" w:cs="宋体" w:asciiTheme="minorEastAsia" w:hAnsiTheme="minorEastAsia" w:eastAsiaTheme="minorEastAsia"/>
          <w:color w:val="auto"/>
          <w:sz w:val="24"/>
          <w:szCs w:val="24"/>
          <w:highlight w:val="none"/>
          <w:lang w:val="en-US" w:eastAsia="zh-CN"/>
        </w:rPr>
        <w:t>财政局</w:t>
      </w:r>
      <w:r>
        <w:rPr>
          <w:rFonts w:hint="eastAsia" w:cs="宋体" w:asciiTheme="minorEastAsia" w:hAnsiTheme="minorEastAsia" w:eastAsiaTheme="minorEastAsia"/>
          <w:color w:val="auto"/>
          <w:sz w:val="24"/>
          <w:szCs w:val="24"/>
          <w:highlight w:val="none"/>
          <w:lang w:eastAsia="zh-CN"/>
        </w:rPr>
        <w:t>处理；成交供应商必须保证配备人员到岗在岗，如果成交供应商在项目实施中需更换人员，更换人员相关证书等级不得低于原配备人员；采购人在项目实施中将随时对上述人员进行在岗抽查，发现人员不在岗情形按照考核要求进行扣分处理，直至终止合同。</w:t>
      </w:r>
    </w:p>
    <w:p w14:paraId="751DDD6F">
      <w:pPr>
        <w:spacing w:line="360" w:lineRule="auto"/>
        <w:ind w:firstLine="437"/>
        <w:outlineLvl w:val="1"/>
        <w:rPr>
          <w:rFonts w:hint="eastAsia" w:ascii="宋体" w:hAnsi="宋体" w:eastAsia="宋体"/>
          <w:b/>
          <w:color w:val="auto"/>
          <w:sz w:val="24"/>
          <w:szCs w:val="18"/>
          <w:highlight w:val="none"/>
        </w:rPr>
      </w:pPr>
      <w:r>
        <w:rPr>
          <w:rFonts w:hint="eastAsia" w:ascii="宋体" w:hAnsi="宋体" w:eastAsia="宋体"/>
          <w:b/>
          <w:color w:val="auto"/>
          <w:sz w:val="24"/>
          <w:szCs w:val="18"/>
          <w:highlight w:val="none"/>
          <w:lang w:val="en-US" w:eastAsia="zh-CN"/>
        </w:rPr>
        <w:t>六</w:t>
      </w:r>
      <w:r>
        <w:rPr>
          <w:rFonts w:hint="eastAsia" w:ascii="宋体" w:hAnsi="宋体" w:eastAsia="宋体"/>
          <w:b/>
          <w:color w:val="auto"/>
          <w:sz w:val="24"/>
          <w:szCs w:val="18"/>
          <w:highlight w:val="none"/>
        </w:rPr>
        <w:t>、验收要求</w:t>
      </w:r>
    </w:p>
    <w:p w14:paraId="4C561F04">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验收时，由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组成验收小组，验收小组应严格依照采购文件、采购合同及相关验收规范进行核对、验收，形成验收结论，并出具书面验收报告。</w:t>
      </w:r>
    </w:p>
    <w:p w14:paraId="599B51BF">
      <w:pPr>
        <w:pStyle w:val="3"/>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color w:val="auto"/>
          <w:highlight w:val="none"/>
        </w:rPr>
      </w:pPr>
      <w:r>
        <w:rPr>
          <w:rFonts w:hint="eastAsia" w:ascii="宋体" w:hAnsi="宋体" w:eastAsia="宋体" w:cs="宋体"/>
          <w:b/>
          <w:bCs/>
          <w:color w:val="auto"/>
          <w:sz w:val="24"/>
          <w:szCs w:val="24"/>
          <w:highlight w:val="none"/>
          <w:lang w:val="en-US" w:eastAsia="zh-CN"/>
        </w:rPr>
        <w:t>政府向社会公众提供的公共服务项目，采购文件应写明验收时邀请服务对象参与并出具意见、验收结果应该向社会公告。</w:t>
      </w:r>
    </w:p>
    <w:p w14:paraId="455123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C4791"/>
    <w:multiLevelType w:val="singleLevel"/>
    <w:tmpl w:val="BCDC4791"/>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2"/>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D3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 w:type="paragraph" w:styleId="4">
    <w:name w:val="Body Text Indent"/>
    <w:basedOn w:val="1"/>
    <w:unhideWhenUsed/>
    <w:qFormat/>
    <w:uiPriority w:val="0"/>
    <w:pPr>
      <w:spacing w:after="120"/>
      <w:ind w:left="420" w:leftChars="200"/>
    </w:pPr>
    <w:rPr>
      <w:rFonts w:asciiTheme="minorHAnsi" w:hAnsiTheme="minorHAnsi"/>
      <w:kern w:val="2"/>
      <w:sz w:val="21"/>
      <w:szCs w:val="22"/>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4"/>
    <w:qFormat/>
    <w:uiPriority w:val="0"/>
    <w:pPr>
      <w:ind w:left="0" w:leftChars="0" w:firstLine="210"/>
    </w:pPr>
  </w:style>
  <w:style w:type="paragraph" w:customStyle="1" w:styleId="9">
    <w:name w:val="D&amp;L"/>
    <w:basedOn w:val="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0">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11">
    <w:name w:val="Table Text"/>
    <w:basedOn w:val="1"/>
    <w:semiHidden/>
    <w:qFormat/>
    <w:uiPriority w:val="99"/>
    <w:rPr>
      <w:rFonts w:ascii="宋体" w:hAnsi="宋体" w:eastAsia="宋体" w:cs="宋体"/>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2025-06-23T07:00:28Z</dcterms:created>
  <dc:creator>liul</dc:creator>
  <cp:lastModifiedBy>刘骝</cp:lastModifiedBy>
  <dcterms:modified xsi:type="dcterms:W3CDTF">2025-06-23T07:01:07Z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eyJoZGlkIjoiYmVjMjNjZTZjNTU3NDRjNTJmZDE4NTViNDM1MjA5NGMiLCJ1c2VySWQiOiIxNTc0MjM4MjMzIn0=</vt:lpwstr>
  </property>
  <property fmtid="{D5CDD505-2E9C-101B-9397-08002B2CF9AE}" pid="4" name="ICV">
    <vt:lpwstr>94A6D482CD1F4505BC7BE46BC467D4AF_12</vt:lpwstr>
  </property>
</Properties>
</file>