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E4E8">
      <w:pPr>
        <w:pStyle w:val="28"/>
        <w:jc w:val="left"/>
      </w:pPr>
      <w:r>
        <w:rPr>
          <w:rFonts w:hint="eastAsia"/>
        </w:rPr>
        <w:t>附件3</w:t>
      </w:r>
    </w:p>
    <w:p w14:paraId="71452618">
      <w:pPr>
        <w:pStyle w:val="28"/>
      </w:pPr>
      <w:r>
        <w:rPr>
          <w:rFonts w:hint="eastAsia"/>
        </w:rPr>
        <w:t>工程类政府采购项目采购需求表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6294"/>
      </w:tblGrid>
      <w:tr w14:paraId="03C9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07" w:type="pct"/>
            <w:noWrap/>
            <w:vAlign w:val="center"/>
          </w:tcPr>
          <w:p w14:paraId="5FE521FC">
            <w:pPr>
              <w:jc w:val="left"/>
            </w:pPr>
            <w:r>
              <w:rPr>
                <w:rFonts w:hint="eastAsia"/>
              </w:rPr>
              <w:t>项目名称</w:t>
            </w:r>
          </w:p>
        </w:tc>
        <w:tc>
          <w:tcPr>
            <w:tcW w:w="3692" w:type="pct"/>
            <w:noWrap/>
            <w:vAlign w:val="center"/>
          </w:tcPr>
          <w:p w14:paraId="53269CC2">
            <w:pPr>
              <w:jc w:val="left"/>
              <w:rPr>
                <w:rFonts w:hint="default" w:eastAsia="宋体"/>
                <w:lang w:val="en-US" w:eastAsia="zh-CN"/>
              </w:rPr>
            </w:pPr>
            <w:r>
              <w:rPr>
                <w:rFonts w:hint="default" w:eastAsia="宋体"/>
                <w:lang w:val="en-US" w:eastAsia="zh-CN"/>
              </w:rPr>
              <w:t>石塘路邻里中心东片房屋维修整治项目</w:t>
            </w:r>
          </w:p>
        </w:tc>
      </w:tr>
      <w:tr w14:paraId="20B3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307" w:type="pct"/>
            <w:noWrap/>
            <w:vAlign w:val="center"/>
          </w:tcPr>
          <w:p w14:paraId="45261E67">
            <w:pPr>
              <w:jc w:val="left"/>
            </w:pPr>
            <w:r>
              <w:rPr>
                <w:rFonts w:hint="eastAsia"/>
              </w:rPr>
              <w:t>采购单位联系人</w:t>
            </w:r>
          </w:p>
          <w:p w14:paraId="3A87194E">
            <w:pPr>
              <w:jc w:val="left"/>
            </w:pPr>
            <w:r>
              <w:rPr>
                <w:rFonts w:hint="eastAsia"/>
              </w:rPr>
              <w:t>及电话</w:t>
            </w:r>
          </w:p>
        </w:tc>
        <w:tc>
          <w:tcPr>
            <w:tcW w:w="3692" w:type="pct"/>
            <w:noWrap/>
            <w:vAlign w:val="center"/>
          </w:tcPr>
          <w:p w14:paraId="49CE1C94">
            <w:pPr>
              <w:jc w:val="left"/>
              <w:rPr>
                <w:rFonts w:hint="default" w:eastAsia="宋体"/>
                <w:lang w:val="en-US" w:eastAsia="zh-CN"/>
              </w:rPr>
            </w:pPr>
            <w:r>
              <w:rPr>
                <w:rFonts w:hint="eastAsia" w:ascii="宋体" w:hAnsi="宋体" w:eastAsia="宋体" w:cs="Times New Roman"/>
                <w:lang w:val="en-US" w:eastAsia="zh-CN"/>
              </w:rPr>
              <w:t>肥东县店埠镇人民政府；黄振15905652655</w:t>
            </w:r>
          </w:p>
        </w:tc>
      </w:tr>
      <w:tr w14:paraId="56CD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7" w:type="pct"/>
            <w:noWrap/>
            <w:vAlign w:val="center"/>
          </w:tcPr>
          <w:p w14:paraId="139E0C58">
            <w:pPr>
              <w:jc w:val="left"/>
            </w:pPr>
            <w:r>
              <w:rPr>
                <w:rFonts w:hint="eastAsia"/>
              </w:rPr>
              <w:t>项目预算</w:t>
            </w:r>
          </w:p>
        </w:tc>
        <w:tc>
          <w:tcPr>
            <w:tcW w:w="3692" w:type="pct"/>
            <w:noWrap/>
            <w:vAlign w:val="center"/>
          </w:tcPr>
          <w:p w14:paraId="672D917B">
            <w:pPr>
              <w:jc w:val="left"/>
              <w:rPr>
                <w:u w:val="single"/>
              </w:rPr>
            </w:pPr>
            <w:r>
              <w:rPr>
                <w:rFonts w:hint="eastAsia"/>
              </w:rPr>
              <w:t>不分包项目</w:t>
            </w:r>
            <w:r>
              <w:t>：</w:t>
            </w:r>
            <w:r>
              <w:rPr>
                <w:rFonts w:hint="eastAsia"/>
                <w:u w:val="single"/>
                <w:lang w:val="en-US" w:eastAsia="zh-CN"/>
              </w:rPr>
              <w:t>300</w:t>
            </w:r>
            <w:r>
              <w:rPr>
                <w:rFonts w:hint="eastAsia"/>
              </w:rPr>
              <w:t>万元</w:t>
            </w:r>
          </w:p>
          <w:p w14:paraId="08CEA7CF">
            <w:pPr>
              <w:jc w:val="left"/>
            </w:pPr>
            <w:r>
              <w:rPr>
                <w:rFonts w:hint="eastAsia"/>
              </w:rPr>
              <w:t>分包</w:t>
            </w:r>
            <w:r>
              <w:t>项目：</w:t>
            </w:r>
            <w:r>
              <w:rPr>
                <w:rFonts w:hint="eastAsia"/>
                <w:u w:val="single"/>
              </w:rPr>
              <w:t xml:space="preserve">   /   </w:t>
            </w:r>
            <w:r>
              <w:rPr>
                <w:rFonts w:hint="eastAsia"/>
              </w:rPr>
              <w:t>万元，其中第1包:</w:t>
            </w:r>
            <w:r>
              <w:rPr>
                <w:rFonts w:hint="eastAsia"/>
                <w:u w:val="single"/>
              </w:rPr>
              <w:t xml:space="preserve">  / </w:t>
            </w:r>
            <w:r>
              <w:rPr>
                <w:rFonts w:hint="eastAsia"/>
              </w:rPr>
              <w:t>万元；第2包:</w:t>
            </w:r>
            <w:r>
              <w:rPr>
                <w:rFonts w:hint="eastAsia"/>
                <w:u w:val="single"/>
              </w:rPr>
              <w:t xml:space="preserve">  / </w:t>
            </w:r>
            <w:r>
              <w:rPr>
                <w:rFonts w:hint="eastAsia"/>
              </w:rPr>
              <w:t>万元</w:t>
            </w:r>
            <w:r>
              <w:t>…</w:t>
            </w:r>
          </w:p>
        </w:tc>
      </w:tr>
      <w:tr w14:paraId="3E9D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307" w:type="pct"/>
            <w:noWrap/>
            <w:vAlign w:val="center"/>
          </w:tcPr>
          <w:p w14:paraId="6521F810">
            <w:pPr>
              <w:jc w:val="left"/>
            </w:pPr>
            <w:r>
              <w:rPr>
                <w:rFonts w:hint="eastAsia"/>
              </w:rPr>
              <w:t>工程内容（明确填写项目的主要建设内容，如建筑面积、结构、层数、长度、跨度等概况）</w:t>
            </w:r>
          </w:p>
        </w:tc>
        <w:tc>
          <w:tcPr>
            <w:tcW w:w="3692" w:type="pct"/>
            <w:noWrap/>
            <w:vAlign w:val="center"/>
          </w:tcPr>
          <w:p w14:paraId="5BA5697B">
            <w:pPr>
              <w:jc w:val="left"/>
            </w:pPr>
            <w:r>
              <w:rPr>
                <w:rFonts w:hint="eastAsia" w:cs="宋体"/>
                <w:sz w:val="24"/>
                <w:szCs w:val="24"/>
                <w:highlight w:val="none"/>
                <w:u w:val="single"/>
                <w:lang w:val="en-US" w:eastAsia="zh-CN"/>
              </w:rPr>
              <w:t>改造规模约3000平方米，主要施工内容为石塘路邻里中心东片17户房屋进行维修加固</w:t>
            </w:r>
            <w:r>
              <w:rPr>
                <w:rFonts w:hint="eastAsia" w:ascii="宋体" w:hAnsi="宋体" w:eastAsia="宋体" w:cs="宋体"/>
                <w:sz w:val="24"/>
                <w:szCs w:val="24"/>
                <w:highlight w:val="none"/>
                <w:u w:val="single"/>
              </w:rPr>
              <w:t>等施工图纸及工程量清单内容。</w:t>
            </w:r>
          </w:p>
        </w:tc>
      </w:tr>
      <w:tr w14:paraId="3BCE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07" w:type="pct"/>
            <w:noWrap/>
            <w:vAlign w:val="center"/>
          </w:tcPr>
          <w:p w14:paraId="5CDC99D2">
            <w:pPr>
              <w:jc w:val="left"/>
            </w:pPr>
            <w:r>
              <w:rPr>
                <w:rFonts w:hint="eastAsia"/>
              </w:rPr>
              <w:t>采购方式</w:t>
            </w:r>
          </w:p>
        </w:tc>
        <w:tc>
          <w:tcPr>
            <w:tcW w:w="3692" w:type="pct"/>
            <w:noWrap/>
            <w:vAlign w:val="center"/>
          </w:tcPr>
          <w:p w14:paraId="20D7E478">
            <w:pPr>
              <w:jc w:val="left"/>
              <w:rPr>
                <w:szCs w:val="21"/>
              </w:rPr>
            </w:pPr>
            <w:r>
              <w:rPr>
                <w:rFonts w:hint="eastAsia"/>
              </w:rPr>
              <w:t>竞争性磋商</w:t>
            </w:r>
          </w:p>
        </w:tc>
      </w:tr>
      <w:tr w14:paraId="464C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07" w:type="pct"/>
            <w:noWrap/>
            <w:vAlign w:val="center"/>
          </w:tcPr>
          <w:p w14:paraId="4B6DEDF8">
            <w:pPr>
              <w:jc w:val="left"/>
            </w:pPr>
            <w:r>
              <w:rPr>
                <w:rFonts w:hint="eastAsia"/>
              </w:rPr>
              <w:t>本项目是否接受联合体投标</w:t>
            </w:r>
          </w:p>
        </w:tc>
        <w:tc>
          <w:tcPr>
            <w:tcW w:w="3692" w:type="pct"/>
            <w:noWrap/>
            <w:vAlign w:val="center"/>
          </w:tcPr>
          <w:p w14:paraId="6409234E">
            <w:pPr>
              <w:jc w:val="left"/>
            </w:pPr>
            <w:r>
              <w:rPr>
                <w:rFonts w:hint="eastAsia"/>
              </w:rPr>
              <w:t>否</w:t>
            </w:r>
          </w:p>
        </w:tc>
      </w:tr>
      <w:tr w14:paraId="282E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307" w:type="pct"/>
            <w:noWrap/>
            <w:vAlign w:val="center"/>
          </w:tcPr>
          <w:p w14:paraId="3B6A0A34">
            <w:pPr>
              <w:jc w:val="left"/>
            </w:pPr>
            <w:r>
              <w:rPr>
                <w:rFonts w:hint="eastAsia"/>
              </w:rPr>
              <w:t>投标人资格要求</w:t>
            </w:r>
          </w:p>
        </w:tc>
        <w:tc>
          <w:tcPr>
            <w:tcW w:w="3692" w:type="pct"/>
            <w:noWrap/>
            <w:vAlign w:val="center"/>
          </w:tcPr>
          <w:p w14:paraId="789A085B">
            <w:pPr>
              <w:jc w:val="left"/>
              <w:rPr>
                <w:rFonts w:hint="eastAsia"/>
              </w:rPr>
            </w:pPr>
            <w:r>
              <w:rPr>
                <w:rFonts w:hint="eastAsia"/>
              </w:rPr>
              <w:t>1.满足《中华人民共和国政府采购法》第二十二条规定；</w:t>
            </w:r>
          </w:p>
          <w:p w14:paraId="719207ED">
            <w:pPr>
              <w:jc w:val="left"/>
              <w:rPr>
                <w:rFonts w:hint="eastAsia"/>
              </w:rPr>
            </w:pPr>
            <w:r>
              <w:rPr>
                <w:rFonts w:hint="eastAsia"/>
              </w:rPr>
              <w:t>2.落实政府采购政策需满足的资格要求：</w:t>
            </w:r>
            <w:r>
              <w:rPr>
                <w:rFonts w:hint="eastAsia"/>
                <w:lang w:val="en-US" w:eastAsia="zh-CN"/>
              </w:rPr>
              <w:t>供应商所提供的工程由中小微企业、监狱企业或残疾人福利性单位承建；</w:t>
            </w:r>
          </w:p>
          <w:p w14:paraId="44128C58">
            <w:pPr>
              <w:jc w:val="left"/>
              <w:rPr>
                <w:rFonts w:hint="eastAsia" w:eastAsia="宋体"/>
                <w:lang w:eastAsia="zh-CN"/>
              </w:rPr>
            </w:pPr>
            <w:r>
              <w:rPr>
                <w:rFonts w:hint="eastAsia"/>
              </w:rPr>
              <w:t>3.本项目的特定资格要求：供应商具备建筑工程施工总承包三级及以上资质且具备有效的安全生产许可证。</w:t>
            </w:r>
          </w:p>
        </w:tc>
      </w:tr>
      <w:tr w14:paraId="21D2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307" w:type="pct"/>
            <w:noWrap/>
            <w:vAlign w:val="center"/>
          </w:tcPr>
          <w:p w14:paraId="11F3CAF0">
            <w:pPr>
              <w:jc w:val="left"/>
            </w:pPr>
            <w:r>
              <w:rPr>
                <w:rFonts w:hint="eastAsia"/>
              </w:rPr>
              <w:t>注册建造师资质</w:t>
            </w:r>
          </w:p>
        </w:tc>
        <w:tc>
          <w:tcPr>
            <w:tcW w:w="3692" w:type="pct"/>
            <w:noWrap/>
            <w:vAlign w:val="center"/>
          </w:tcPr>
          <w:p w14:paraId="7541B04E">
            <w:pPr>
              <w:jc w:val="left"/>
              <w:rPr>
                <w:rFonts w:hint="eastAsia"/>
                <w:lang w:val="en-US" w:eastAsia="zh-CN"/>
              </w:rPr>
            </w:pPr>
            <w:r>
              <w:rPr>
                <w:rFonts w:hint="eastAsia"/>
                <w:lang w:val="en-US" w:eastAsia="zh-CN"/>
              </w:rPr>
              <w:t>供应商拟委任项目经理须具备建筑工程专业二级及以上注册建造师资格及住房和城乡建设行政主管部门颁发的安全生产考核合格证书（B证），且目前未在其他项目上任职或虽在其他项目上任职但本项目成交后能够从该项目撤离。</w:t>
            </w:r>
          </w:p>
          <w:p w14:paraId="4DA21484">
            <w:pPr>
              <w:jc w:val="left"/>
              <w:rPr>
                <w:kern w:val="0"/>
                <w:szCs w:val="20"/>
              </w:rPr>
            </w:pPr>
            <w:r>
              <w:rPr>
                <w:rFonts w:hint="eastAsia"/>
                <w:lang w:val="en-US" w:eastAsia="zh-CN"/>
              </w:rPr>
              <w:t xml:space="preserve">注：响应文件中提供供应商为拟委任项目经理缴纳的自 2025年7月1日（含）以来任意一个月的社保证明材料（社保证明材料至少含养老保险）。  </w:t>
            </w:r>
            <w:r>
              <w:rPr>
                <w:rFonts w:hint="eastAsia"/>
              </w:rPr>
              <w:t xml:space="preserve"> </w:t>
            </w:r>
          </w:p>
        </w:tc>
      </w:tr>
      <w:tr w14:paraId="0519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307" w:type="pct"/>
            <w:noWrap/>
            <w:vAlign w:val="center"/>
          </w:tcPr>
          <w:p w14:paraId="528DBB6A">
            <w:pPr>
              <w:jc w:val="left"/>
            </w:pPr>
            <w:r>
              <w:rPr>
                <w:rFonts w:hint="eastAsia"/>
              </w:rPr>
              <w:t>工程款（进度款）支付的方式和时间</w:t>
            </w:r>
          </w:p>
        </w:tc>
        <w:tc>
          <w:tcPr>
            <w:tcW w:w="3692" w:type="pct"/>
            <w:noWrap/>
            <w:vAlign w:val="center"/>
          </w:tcPr>
          <w:p w14:paraId="1B754FD3">
            <w:pPr>
              <w:jc w:val="left"/>
            </w:pPr>
            <w:r>
              <w:rPr>
                <w:rFonts w:hint="eastAsia"/>
              </w:rPr>
              <w:t>付款周期</w:t>
            </w:r>
          </w:p>
          <w:p w14:paraId="1616299D">
            <w:pPr>
              <w:jc w:val="left"/>
            </w:pPr>
            <w:r>
              <w:rPr>
                <w:rFonts w:hint="eastAsia"/>
              </w:rPr>
              <w:t>关于付款周期的约定：每月支付当月实际工程量的80%工程款项，项目验收合格后付清价款。</w:t>
            </w:r>
          </w:p>
        </w:tc>
      </w:tr>
      <w:tr w14:paraId="6F53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07" w:type="pct"/>
            <w:noWrap/>
            <w:vAlign w:val="center"/>
          </w:tcPr>
          <w:p w14:paraId="536DEDA6">
            <w:pPr>
              <w:jc w:val="left"/>
            </w:pPr>
            <w:r>
              <w:rPr>
                <w:rFonts w:hint="eastAsia"/>
              </w:rPr>
              <w:t>施工地点</w:t>
            </w:r>
          </w:p>
        </w:tc>
        <w:tc>
          <w:tcPr>
            <w:tcW w:w="3692" w:type="pct"/>
            <w:noWrap/>
            <w:vAlign w:val="center"/>
          </w:tcPr>
          <w:p w14:paraId="6C458721">
            <w:pPr>
              <w:jc w:val="left"/>
              <w:rPr>
                <w:rFonts w:hint="default" w:eastAsia="宋体"/>
                <w:lang w:val="en-US" w:eastAsia="zh-CN"/>
              </w:rPr>
            </w:pPr>
            <w:r>
              <w:rPr>
                <w:rFonts w:hint="eastAsia"/>
                <w:lang w:val="en-US" w:eastAsia="zh-CN"/>
              </w:rPr>
              <w:t>安徽省合肥市肥东县</w:t>
            </w:r>
          </w:p>
        </w:tc>
      </w:tr>
      <w:tr w14:paraId="1E3A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07" w:type="pct"/>
            <w:noWrap/>
            <w:vAlign w:val="center"/>
          </w:tcPr>
          <w:p w14:paraId="0B88A6E8">
            <w:pPr>
              <w:jc w:val="left"/>
            </w:pPr>
            <w:r>
              <w:rPr>
                <w:rFonts w:hint="eastAsia"/>
              </w:rPr>
              <w:t>合同工期</w:t>
            </w:r>
          </w:p>
        </w:tc>
        <w:tc>
          <w:tcPr>
            <w:tcW w:w="3692" w:type="pct"/>
            <w:noWrap/>
            <w:vAlign w:val="center"/>
          </w:tcPr>
          <w:p w14:paraId="660BD038">
            <w:pPr>
              <w:jc w:val="left"/>
              <w:rPr>
                <w:szCs w:val="18"/>
              </w:rPr>
            </w:pPr>
            <w:r>
              <w:rPr>
                <w:rFonts w:hint="eastAsia"/>
                <w:highlight w:val="none"/>
                <w:lang w:val="en-US" w:eastAsia="zh-CN"/>
              </w:rPr>
              <w:t>35</w:t>
            </w:r>
            <w:r>
              <w:rPr>
                <w:rFonts w:hint="eastAsia"/>
                <w:highlight w:val="none"/>
              </w:rPr>
              <w:t>日历天</w:t>
            </w:r>
          </w:p>
        </w:tc>
      </w:tr>
      <w:tr w14:paraId="3D47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07" w:type="pct"/>
            <w:noWrap/>
            <w:vAlign w:val="center"/>
          </w:tcPr>
          <w:p w14:paraId="71D040BE">
            <w:pPr>
              <w:jc w:val="left"/>
            </w:pPr>
            <w:r>
              <w:rPr>
                <w:rFonts w:hint="eastAsia"/>
              </w:rPr>
              <w:t>是否专门面向中小企业采购</w:t>
            </w:r>
          </w:p>
        </w:tc>
        <w:tc>
          <w:tcPr>
            <w:tcW w:w="3692" w:type="pct"/>
            <w:noWrap/>
            <w:vAlign w:val="center"/>
          </w:tcPr>
          <w:p w14:paraId="46254FA9">
            <w:pPr>
              <w:jc w:val="left"/>
              <w:rPr>
                <w:szCs w:val="21"/>
              </w:rPr>
            </w:pPr>
            <w:r>
              <w:rPr>
                <w:rFonts w:hint="eastAsia"/>
              </w:rPr>
              <w:t>是</w:t>
            </w:r>
          </w:p>
        </w:tc>
      </w:tr>
      <w:tr w14:paraId="43B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07" w:type="pct"/>
            <w:noWrap/>
            <w:vAlign w:val="center"/>
          </w:tcPr>
          <w:p w14:paraId="7A8D50CB">
            <w:pPr>
              <w:jc w:val="left"/>
            </w:pPr>
            <w:r>
              <w:rPr>
                <w:rFonts w:hint="eastAsia"/>
              </w:rPr>
              <w:t>预留中小企业份额占比</w:t>
            </w:r>
          </w:p>
        </w:tc>
        <w:tc>
          <w:tcPr>
            <w:tcW w:w="3692" w:type="pct"/>
            <w:noWrap/>
            <w:vAlign w:val="center"/>
          </w:tcPr>
          <w:p w14:paraId="06A368A3">
            <w:pPr>
              <w:jc w:val="left"/>
              <w:rPr>
                <w:szCs w:val="21"/>
              </w:rPr>
            </w:pPr>
            <w:r>
              <w:rPr>
                <w:rFonts w:hint="eastAsia"/>
              </w:rPr>
              <w:t>预留100%</w:t>
            </w:r>
          </w:p>
        </w:tc>
      </w:tr>
      <w:tr w14:paraId="0905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307" w:type="pct"/>
            <w:noWrap/>
            <w:vAlign w:val="center"/>
          </w:tcPr>
          <w:p w14:paraId="1A8EB9C2">
            <w:pPr>
              <w:jc w:val="left"/>
              <w:rPr>
                <w:szCs w:val="24"/>
              </w:rPr>
            </w:pPr>
            <w:r>
              <w:rPr>
                <w:rFonts w:hint="eastAsia"/>
              </w:rPr>
              <w:t>是否设置暂列金（不得超过控制价的5%）</w:t>
            </w:r>
          </w:p>
        </w:tc>
        <w:tc>
          <w:tcPr>
            <w:tcW w:w="3692" w:type="pct"/>
            <w:noWrap/>
            <w:vAlign w:val="center"/>
          </w:tcPr>
          <w:p w14:paraId="3520E84A">
            <w:pPr>
              <w:jc w:val="left"/>
            </w:pPr>
            <w:r>
              <w:rPr>
                <w:rFonts w:hint="eastAsia"/>
              </w:rPr>
              <w:t>无</w:t>
            </w:r>
          </w:p>
        </w:tc>
      </w:tr>
      <w:tr w14:paraId="200F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7" w:type="pct"/>
            <w:noWrap/>
            <w:vAlign w:val="center"/>
          </w:tcPr>
          <w:p w14:paraId="0ACB0394">
            <w:pPr>
              <w:jc w:val="left"/>
            </w:pPr>
            <w:r>
              <w:rPr>
                <w:rFonts w:hint="eastAsia"/>
              </w:rPr>
              <w:t>主要标的所属行业</w:t>
            </w:r>
          </w:p>
        </w:tc>
        <w:tc>
          <w:tcPr>
            <w:tcW w:w="3692" w:type="pct"/>
            <w:noWrap/>
            <w:vAlign w:val="center"/>
          </w:tcPr>
          <w:p w14:paraId="0D046D33">
            <w:pPr>
              <w:jc w:val="left"/>
            </w:pPr>
            <w:r>
              <w:t>建筑业</w:t>
            </w:r>
          </w:p>
        </w:tc>
      </w:tr>
      <w:tr w14:paraId="3B60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307" w:type="pct"/>
            <w:noWrap/>
            <w:vAlign w:val="center"/>
          </w:tcPr>
          <w:p w14:paraId="22D2374C">
            <w:pPr>
              <w:jc w:val="left"/>
            </w:pPr>
            <w:r>
              <w:rPr>
                <w:rFonts w:hint="eastAsia"/>
              </w:rPr>
              <w:t>拟采用的评标办法</w:t>
            </w:r>
          </w:p>
        </w:tc>
        <w:tc>
          <w:tcPr>
            <w:tcW w:w="3692" w:type="pct"/>
            <w:noWrap/>
            <w:vAlign w:val="center"/>
          </w:tcPr>
          <w:p w14:paraId="5705B055">
            <w:pPr>
              <w:jc w:val="left"/>
              <w:rPr>
                <w:szCs w:val="21"/>
              </w:rPr>
            </w:pPr>
            <w:r>
              <w:rPr>
                <w:rFonts w:hint="eastAsia"/>
              </w:rPr>
              <w:t>综合评分法（分值设置：技术分</w:t>
            </w:r>
            <w:r>
              <w:rPr>
                <w:rFonts w:hint="eastAsia"/>
                <w:u w:val="single"/>
                <w:lang w:val="en-US" w:eastAsia="zh-CN"/>
              </w:rPr>
              <w:t>70</w:t>
            </w:r>
            <w:r>
              <w:rPr>
                <w:rFonts w:hint="eastAsia"/>
              </w:rPr>
              <w:t>分，价格分</w:t>
            </w:r>
            <w:r>
              <w:rPr>
                <w:rFonts w:hint="eastAsia"/>
                <w:u w:val="single"/>
                <w:lang w:val="en-US" w:eastAsia="zh-CN"/>
              </w:rPr>
              <w:t>30</w:t>
            </w:r>
            <w:r>
              <w:rPr>
                <w:rFonts w:hint="eastAsia"/>
              </w:rPr>
              <w:t>分）</w:t>
            </w:r>
          </w:p>
        </w:tc>
      </w:tr>
    </w:tbl>
    <w:p w14:paraId="4ACFE3CE">
      <w:pPr>
        <w:numPr>
          <w:ilvl w:val="0"/>
          <w:numId w:val="1"/>
        </w:numPr>
        <w:jc w:val="left"/>
        <w:rPr>
          <w:rFonts w:hint="eastAsia"/>
        </w:rPr>
      </w:pPr>
      <w:r>
        <w:rPr>
          <w:rFonts w:hint="eastAsia"/>
        </w:rPr>
        <w:t>清单控制价</w:t>
      </w:r>
    </w:p>
    <w:p w14:paraId="6F19451A">
      <w:pPr>
        <w:ind w:firstLine="480" w:firstLineChars="200"/>
        <w:jc w:val="left"/>
        <w:rPr>
          <w:rFonts w:hint="default"/>
          <w:lang w:val="en-US" w:eastAsia="zh-CN"/>
        </w:rPr>
      </w:pPr>
      <w:r>
        <w:rPr>
          <w:rFonts w:hint="eastAsia"/>
          <w:lang w:val="en-US" w:eastAsia="zh-CN"/>
        </w:rPr>
        <w:t>详见工程最高投标限价</w:t>
      </w:r>
    </w:p>
    <w:p w14:paraId="7888C6DC">
      <w:pPr>
        <w:numPr>
          <w:ilvl w:val="0"/>
          <w:numId w:val="1"/>
        </w:numPr>
        <w:ind w:left="0" w:leftChars="0" w:firstLine="0" w:firstLineChars="0"/>
        <w:jc w:val="left"/>
        <w:rPr>
          <w:rFonts w:hint="eastAsia"/>
        </w:rPr>
      </w:pPr>
      <w:r>
        <w:rPr>
          <w:rFonts w:hint="eastAsia"/>
        </w:rPr>
        <w:t>工程量清单</w:t>
      </w:r>
    </w:p>
    <w:p w14:paraId="2A5C628A">
      <w:pPr>
        <w:ind w:firstLine="480" w:firstLineChars="200"/>
        <w:jc w:val="left"/>
        <w:rPr>
          <w:rFonts w:hint="default"/>
          <w:lang w:val="en-US" w:eastAsia="zh-CN"/>
        </w:rPr>
      </w:pPr>
      <w:r>
        <w:rPr>
          <w:rFonts w:hint="eastAsia"/>
          <w:lang w:val="en-US" w:eastAsia="zh-CN"/>
        </w:rPr>
        <w:t>详见工程量清单</w:t>
      </w:r>
    </w:p>
    <w:p w14:paraId="64F2D35F">
      <w:pPr>
        <w:numPr>
          <w:ilvl w:val="0"/>
          <w:numId w:val="1"/>
        </w:numPr>
        <w:ind w:left="0" w:leftChars="0" w:firstLine="0" w:firstLineChars="0"/>
        <w:jc w:val="left"/>
        <w:rPr>
          <w:rFonts w:hint="eastAsia"/>
        </w:rPr>
      </w:pPr>
      <w:r>
        <w:rPr>
          <w:rFonts w:hint="eastAsia"/>
        </w:rPr>
        <w:t>报价要求</w:t>
      </w:r>
    </w:p>
    <w:p w14:paraId="3BD19542">
      <w:pPr>
        <w:numPr>
          <w:ilvl w:val="0"/>
          <w:numId w:val="0"/>
        </w:numPr>
        <w:ind w:leftChars="0" w:firstLine="480" w:firstLineChars="200"/>
        <w:jc w:val="left"/>
      </w:pPr>
      <w:r>
        <w:rPr>
          <w:rFonts w:hint="eastAsia"/>
          <w:b w:val="0"/>
          <w:sz w:val="24"/>
          <w:highlight w:val="none"/>
        </w:rPr>
        <w:t>工程量清单综合单价报价法</w:t>
      </w:r>
      <w:r>
        <w:rPr>
          <w:rFonts w:hint="eastAsia"/>
          <w:b w:val="0"/>
          <w:sz w:val="24"/>
          <w:highlight w:val="none"/>
          <w:lang w:eastAsia="zh-CN"/>
        </w:rPr>
        <w:t>，</w:t>
      </w:r>
      <w:r>
        <w:rPr>
          <w:rFonts w:hint="eastAsia"/>
        </w:rPr>
        <w:t>供应商最后报价均不得高于磋商文件（公告）列明的项目预算、最高投标限价，否则其响应文件将被认定为响应无效。</w:t>
      </w:r>
    </w:p>
    <w:p w14:paraId="7D046349">
      <w:pPr>
        <w:numPr>
          <w:ilvl w:val="0"/>
          <w:numId w:val="1"/>
        </w:numPr>
        <w:ind w:left="0" w:leftChars="0" w:firstLine="0" w:firstLineChars="0"/>
        <w:jc w:val="left"/>
        <w:rPr>
          <w:rFonts w:hint="eastAsia"/>
        </w:rPr>
      </w:pPr>
      <w:r>
        <w:rPr>
          <w:rFonts w:hint="eastAsia"/>
        </w:rPr>
        <w:t>其他要求</w:t>
      </w:r>
    </w:p>
    <w:p w14:paraId="07EA6F26">
      <w:pPr>
        <w:ind w:firstLine="480" w:firstLineChars="200"/>
        <w:jc w:val="left"/>
        <w:rPr>
          <w:rFonts w:hint="eastAsia"/>
          <w:lang w:val="en-US" w:eastAsia="zh-CN"/>
        </w:rPr>
      </w:pPr>
      <w:r>
        <w:rPr>
          <w:rFonts w:hint="eastAsia"/>
          <w:lang w:val="en-US" w:eastAsia="zh-CN"/>
        </w:rPr>
        <w:t>无</w:t>
      </w:r>
    </w:p>
    <w:p w14:paraId="1F9B7BE2">
      <w:pPr>
        <w:jc w:val="left"/>
      </w:pPr>
      <w:r>
        <w:rPr>
          <w:rFonts w:hint="eastAsia"/>
        </w:rPr>
        <w:t>评分细则（综合评分法项目适用）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222"/>
        <w:gridCol w:w="4777"/>
        <w:gridCol w:w="1352"/>
      </w:tblGrid>
      <w:tr w14:paraId="12AA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87" w:type="pct"/>
            <w:tcBorders>
              <w:top w:val="single" w:color="auto" w:sz="4" w:space="0"/>
              <w:left w:val="single" w:color="auto" w:sz="4" w:space="0"/>
              <w:bottom w:val="single" w:color="auto" w:sz="4" w:space="0"/>
              <w:right w:val="single" w:color="auto" w:sz="4" w:space="0"/>
            </w:tcBorders>
            <w:vAlign w:val="center"/>
          </w:tcPr>
          <w:p w14:paraId="370430DB">
            <w:pPr>
              <w:autoSpaceDE w:val="0"/>
              <w:autoSpaceDN w:val="0"/>
              <w:adjustRightInd w:val="0"/>
              <w:spacing w:line="360" w:lineRule="auto"/>
              <w:jc w:val="center"/>
              <w:rPr>
                <w:rFonts w:cs="Times New Roman"/>
                <w:b/>
                <w:bCs/>
                <w:kern w:val="2"/>
                <w:sz w:val="24"/>
                <w:szCs w:val="24"/>
                <w:highlight w:val="none"/>
              </w:rPr>
            </w:pPr>
            <w:r>
              <w:rPr>
                <w:rFonts w:hint="eastAsia" w:cs="Times New Roman"/>
                <w:b/>
                <w:bCs/>
                <w:kern w:val="2"/>
                <w:sz w:val="24"/>
                <w:szCs w:val="22"/>
                <w:highlight w:val="none"/>
              </w:rPr>
              <w:t>类别</w:t>
            </w:r>
          </w:p>
        </w:tc>
        <w:tc>
          <w:tcPr>
            <w:tcW w:w="717" w:type="pct"/>
            <w:tcBorders>
              <w:top w:val="single" w:color="auto" w:sz="4" w:space="0"/>
              <w:left w:val="nil"/>
              <w:bottom w:val="single" w:color="auto" w:sz="4" w:space="0"/>
              <w:right w:val="single" w:color="auto" w:sz="4" w:space="0"/>
            </w:tcBorders>
            <w:vAlign w:val="center"/>
          </w:tcPr>
          <w:p w14:paraId="354CA84E">
            <w:pPr>
              <w:autoSpaceDE w:val="0"/>
              <w:autoSpaceDN w:val="0"/>
              <w:adjustRightInd w:val="0"/>
              <w:spacing w:line="360" w:lineRule="auto"/>
              <w:jc w:val="center"/>
              <w:rPr>
                <w:rFonts w:cs="Times New Roman"/>
                <w:b/>
                <w:bCs/>
                <w:kern w:val="2"/>
                <w:sz w:val="24"/>
                <w:szCs w:val="24"/>
                <w:highlight w:val="none"/>
              </w:rPr>
            </w:pPr>
            <w:r>
              <w:rPr>
                <w:rFonts w:hint="eastAsia" w:cs="Times New Roman"/>
                <w:b/>
                <w:bCs/>
                <w:kern w:val="2"/>
                <w:sz w:val="24"/>
                <w:szCs w:val="22"/>
                <w:highlight w:val="none"/>
              </w:rPr>
              <w:t>评分内容</w:t>
            </w:r>
          </w:p>
        </w:tc>
        <w:tc>
          <w:tcPr>
            <w:tcW w:w="2802" w:type="pct"/>
            <w:tcBorders>
              <w:top w:val="single" w:color="auto" w:sz="4" w:space="0"/>
              <w:left w:val="nil"/>
              <w:bottom w:val="single" w:color="auto" w:sz="4" w:space="0"/>
              <w:right w:val="single" w:color="auto" w:sz="4" w:space="0"/>
            </w:tcBorders>
            <w:vAlign w:val="center"/>
          </w:tcPr>
          <w:p w14:paraId="2FAD7505">
            <w:pPr>
              <w:autoSpaceDE w:val="0"/>
              <w:autoSpaceDN w:val="0"/>
              <w:adjustRightInd w:val="0"/>
              <w:spacing w:line="360" w:lineRule="auto"/>
              <w:jc w:val="center"/>
              <w:rPr>
                <w:rFonts w:cs="Times New Roman"/>
                <w:b/>
                <w:bCs/>
                <w:kern w:val="2"/>
                <w:sz w:val="24"/>
                <w:szCs w:val="24"/>
                <w:highlight w:val="none"/>
              </w:rPr>
            </w:pPr>
            <w:r>
              <w:rPr>
                <w:rFonts w:hint="eastAsia" w:cs="Times New Roman"/>
                <w:b/>
                <w:bCs/>
                <w:kern w:val="2"/>
                <w:sz w:val="24"/>
                <w:szCs w:val="22"/>
                <w:highlight w:val="none"/>
              </w:rPr>
              <w:t>评分标准</w:t>
            </w:r>
          </w:p>
        </w:tc>
        <w:tc>
          <w:tcPr>
            <w:tcW w:w="791" w:type="pct"/>
            <w:tcBorders>
              <w:top w:val="single" w:color="auto" w:sz="4" w:space="0"/>
              <w:left w:val="nil"/>
              <w:bottom w:val="single" w:color="auto" w:sz="4" w:space="0"/>
              <w:right w:val="single" w:color="auto" w:sz="4" w:space="0"/>
            </w:tcBorders>
            <w:vAlign w:val="center"/>
          </w:tcPr>
          <w:p w14:paraId="2E475935">
            <w:pPr>
              <w:autoSpaceDE w:val="0"/>
              <w:autoSpaceDN w:val="0"/>
              <w:adjustRightInd w:val="0"/>
              <w:spacing w:line="360" w:lineRule="auto"/>
              <w:jc w:val="center"/>
              <w:rPr>
                <w:rFonts w:cs="Times New Roman"/>
                <w:b/>
                <w:bCs/>
                <w:kern w:val="2"/>
                <w:sz w:val="24"/>
                <w:szCs w:val="24"/>
                <w:highlight w:val="none"/>
              </w:rPr>
            </w:pPr>
            <w:r>
              <w:rPr>
                <w:rFonts w:hint="eastAsia" w:cs="Times New Roman"/>
                <w:b/>
                <w:bCs/>
                <w:kern w:val="2"/>
                <w:sz w:val="24"/>
                <w:szCs w:val="22"/>
                <w:highlight w:val="none"/>
              </w:rPr>
              <w:t>分值范围</w:t>
            </w:r>
          </w:p>
        </w:tc>
      </w:tr>
      <w:tr w14:paraId="44F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tcBorders>
              <w:top w:val="nil"/>
              <w:left w:val="single" w:color="auto" w:sz="4" w:space="0"/>
              <w:right w:val="single" w:color="auto" w:sz="4" w:space="0"/>
            </w:tcBorders>
            <w:vAlign w:val="center"/>
          </w:tcPr>
          <w:p w14:paraId="74F2F730">
            <w:pPr>
              <w:autoSpaceDE w:val="0"/>
              <w:autoSpaceDN w:val="0"/>
              <w:adjustRightInd w:val="0"/>
              <w:spacing w:line="360" w:lineRule="auto"/>
              <w:jc w:val="center"/>
              <w:rPr>
                <w:rFonts w:cs="Times New Roman"/>
                <w:kern w:val="2"/>
                <w:sz w:val="24"/>
                <w:szCs w:val="24"/>
                <w:highlight w:val="none"/>
              </w:rPr>
            </w:pPr>
            <w:r>
              <w:rPr>
                <w:rFonts w:hint="eastAsia" w:cs="Times New Roman"/>
                <w:kern w:val="2"/>
                <w:sz w:val="24"/>
                <w:szCs w:val="22"/>
                <w:highlight w:val="none"/>
              </w:rPr>
              <w:t>技术资信分</w:t>
            </w:r>
          </w:p>
          <w:p w14:paraId="5961CF61">
            <w:pPr>
              <w:autoSpaceDE w:val="0"/>
              <w:autoSpaceDN w:val="0"/>
              <w:adjustRightInd w:val="0"/>
              <w:spacing w:line="360" w:lineRule="auto"/>
              <w:jc w:val="center"/>
              <w:rPr>
                <w:rFonts w:cs="Times New Roman"/>
                <w:b/>
                <w:bCs/>
                <w:kern w:val="2"/>
                <w:sz w:val="24"/>
                <w:szCs w:val="24"/>
                <w:highlight w:val="none"/>
              </w:rPr>
            </w:pPr>
            <w:r>
              <w:rPr>
                <w:rFonts w:hint="eastAsia" w:cs="Times New Roman"/>
                <w:kern w:val="2"/>
                <w:sz w:val="24"/>
                <w:szCs w:val="22"/>
                <w:highlight w:val="none"/>
              </w:rPr>
              <w:t>（</w:t>
            </w:r>
            <w:r>
              <w:rPr>
                <w:rFonts w:hint="eastAsia" w:cs="Times New Roman"/>
                <w:kern w:val="2"/>
                <w:sz w:val="24"/>
                <w:szCs w:val="22"/>
                <w:highlight w:val="none"/>
                <w:u w:val="single"/>
                <w:lang w:val="en-US" w:eastAsia="zh-CN"/>
              </w:rPr>
              <w:t>70</w:t>
            </w:r>
            <w:r>
              <w:rPr>
                <w:rFonts w:hint="eastAsia" w:cs="Times New Roman"/>
                <w:kern w:val="2"/>
                <w:sz w:val="24"/>
                <w:szCs w:val="22"/>
                <w:highlight w:val="none"/>
              </w:rPr>
              <w:t>分）</w:t>
            </w:r>
          </w:p>
        </w:tc>
        <w:tc>
          <w:tcPr>
            <w:tcW w:w="717" w:type="pct"/>
            <w:tcBorders>
              <w:top w:val="single" w:color="auto" w:sz="4" w:space="0"/>
              <w:left w:val="nil"/>
              <w:bottom w:val="single" w:color="auto" w:sz="4" w:space="0"/>
              <w:right w:val="single" w:color="auto" w:sz="4" w:space="0"/>
            </w:tcBorders>
            <w:vAlign w:val="center"/>
          </w:tcPr>
          <w:p w14:paraId="7BD7378D">
            <w:pPr>
              <w:autoSpaceDE w:val="0"/>
              <w:autoSpaceDN w:val="0"/>
              <w:adjustRightInd w:val="0"/>
              <w:spacing w:line="360" w:lineRule="auto"/>
              <w:jc w:val="center"/>
              <w:rPr>
                <w:rFonts w:hint="eastAsia" w:ascii="宋体" w:hAnsi="宋体" w:eastAsia="宋体" w:cs="Times New Roman"/>
                <w:bCs/>
                <w:kern w:val="2"/>
                <w:sz w:val="24"/>
                <w:szCs w:val="22"/>
                <w:highlight w:val="none"/>
                <w:lang w:val="en-US" w:eastAsia="zh-CN"/>
              </w:rPr>
            </w:pPr>
            <w:r>
              <w:rPr>
                <w:rFonts w:hint="eastAsia" w:cs="Times New Roman"/>
                <w:kern w:val="2"/>
                <w:sz w:val="24"/>
                <w:szCs w:val="22"/>
                <w:highlight w:val="none"/>
              </w:rPr>
              <w:t>施工组织方案</w:t>
            </w:r>
          </w:p>
        </w:tc>
        <w:tc>
          <w:tcPr>
            <w:tcW w:w="2802" w:type="pct"/>
            <w:tcBorders>
              <w:top w:val="single" w:color="auto" w:sz="4" w:space="0"/>
              <w:left w:val="nil"/>
              <w:bottom w:val="single" w:color="auto" w:sz="4" w:space="0"/>
              <w:right w:val="single" w:color="auto" w:sz="4" w:space="0"/>
            </w:tcBorders>
            <w:vAlign w:val="center"/>
          </w:tcPr>
          <w:p w14:paraId="7E3D520D">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施工方案中项目施工技术措施进行综合评分：</w:t>
            </w:r>
          </w:p>
          <w:p w14:paraId="41404EE5">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（1）项目施工技术措施优于本项目采购需求，完整详细、可行性，实用性、针对性强，得5分；</w:t>
            </w:r>
          </w:p>
          <w:p w14:paraId="396699DC">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（2）项目施工技术措施适合本项目采购需求，完整详细、具有可行性，实用性和针对性，得3分；</w:t>
            </w:r>
          </w:p>
          <w:p w14:paraId="5C3D0A90">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（3）项目施工技术措施基本适合本项目采购需求，可行性，实用性和针对性有待改善，得1分；</w:t>
            </w:r>
          </w:p>
          <w:p w14:paraId="3C528700">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（4）方案不可行或者未提供得0分。</w:t>
            </w:r>
          </w:p>
          <w:p w14:paraId="3569DBC4">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施工方案中工程质量的管理与措施进行综合评分：</w:t>
            </w:r>
          </w:p>
          <w:p w14:paraId="1682CBD8">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（1）工程质量的管理与措施优于本项目采购需求，完整详细、可行性，实用性、针对性强，得5分；</w:t>
            </w:r>
          </w:p>
          <w:p w14:paraId="5C9D4803">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（2）工程质量的管理与措施适合本项目采购需求，完整详细、具有可行性，实用性和针对性，得3分；</w:t>
            </w:r>
          </w:p>
          <w:p w14:paraId="36A59461">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（3）工程质量的管理与措施基本适合本项目采购需求，可行性，实用性和针对性有待改善，得1分；</w:t>
            </w:r>
          </w:p>
          <w:p w14:paraId="16C51863">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（4）方案不可行或者未提供得0分。</w:t>
            </w:r>
          </w:p>
          <w:p w14:paraId="39038201">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施工方案中安全生产的管理与措施进行综合评分：</w:t>
            </w:r>
          </w:p>
          <w:p w14:paraId="1C20D999">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（1）安全生产的管理与措施优于本项目采购需求，完整详细、可行性，实用性、针对性强，得5分；</w:t>
            </w:r>
          </w:p>
          <w:p w14:paraId="51D446E9">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（2）安全生产的管理与措施适合本项目采购需求，完整详细、具有可行性，实用性和针对性，得3分；</w:t>
            </w:r>
          </w:p>
          <w:p w14:paraId="3A40FCF5">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（3）安全生产的管理与措施基本适合本项目采购需求，可行性，实用性和针对性有待改善，得1分；</w:t>
            </w:r>
          </w:p>
          <w:p w14:paraId="43468316">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（4）方案不可行或者未提供得0分。</w:t>
            </w:r>
          </w:p>
          <w:p w14:paraId="473090A4">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施工方案中工程进度计划与措施及施工网络图进行综合评分：</w:t>
            </w:r>
          </w:p>
          <w:p w14:paraId="4680A040">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（1）工程进度计划与措施及施工网络图优于本项目采购需求，完整详细、可行性，实用性、针对性强，得5分；</w:t>
            </w:r>
          </w:p>
          <w:p w14:paraId="7069B4B4">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（2）工程进度计划与措施及施工网络图适合本项目采购需求，完整详细、具有可行性，实用性和针对性，得3分；</w:t>
            </w:r>
          </w:p>
          <w:p w14:paraId="4D543C96">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（3）工程进度计划与措施及施工网络图基本适合本项目采购需求，可行性，实用性和针对性有待改善，得1分；</w:t>
            </w:r>
          </w:p>
          <w:p w14:paraId="60D72F5D">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（4）方案不可行或者未提供得0分。</w:t>
            </w:r>
          </w:p>
          <w:p w14:paraId="40DE9760">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5.</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施工方案中确保文明施工的管理与措施进行综合评分：</w:t>
            </w:r>
          </w:p>
          <w:p w14:paraId="4A1347E4">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（1）确保文明施工的管理与措施优于本项目采购需求，完整详细、可行性，实用性、针对性强，得5分；</w:t>
            </w:r>
          </w:p>
          <w:p w14:paraId="1002F13E">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（2）确保文明施工的管理与措施适合本项目采购需求，完整详细、具有可行性，实用性和针对性，得3分；</w:t>
            </w:r>
          </w:p>
          <w:p w14:paraId="126EC398">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（3）确保文明施工的管理与措施基本适合本项目采购需求，可行性，实用性和针对性有待改善，得1分；</w:t>
            </w:r>
          </w:p>
          <w:p w14:paraId="3B626B9C">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（4）方案不可行或者未提供得0分。</w:t>
            </w:r>
          </w:p>
          <w:p w14:paraId="2725D94D">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6.</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施工方案中劳动力安排计划进行综合评分：</w:t>
            </w:r>
          </w:p>
          <w:p w14:paraId="5003E535">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（1）劳动力安排计划优于本项目采购需求，完整详细、可行性，实用性、针对性强，得5分；</w:t>
            </w:r>
          </w:p>
          <w:p w14:paraId="0B40433D">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（2）劳动力安排计划适合本项目采购需求，完整详细、具有可行性，实用性和针对性，得3分；</w:t>
            </w:r>
          </w:p>
          <w:p w14:paraId="757FE288">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（3）劳动力安排计划基本适合本项目采购需求，可行性，实用性和针对性有待改善，得1分；</w:t>
            </w:r>
          </w:p>
          <w:p w14:paraId="1FF58923">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（4）方案不可行或者未提供得0分。</w:t>
            </w:r>
          </w:p>
          <w:p w14:paraId="70067778">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7.</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施工方案中涉及施工监管功能措施进行综合评分：</w:t>
            </w:r>
          </w:p>
          <w:p w14:paraId="16A6DEB2">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（1）施工监管功能措施优于本项目采购需求，完整详细、可行性，实用性、针对性强，得5分；</w:t>
            </w:r>
          </w:p>
          <w:p w14:paraId="57DF42F6">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（2）施工监管功能措施适合本项目采购需求，完整详细、具有可行性，实用性和针对性，得3分；</w:t>
            </w:r>
          </w:p>
          <w:p w14:paraId="07894C85">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（3）施工监管功能措施基本适合本项目采购需求，可行性，实用性和针对性有待改善，得1分；</w:t>
            </w:r>
          </w:p>
          <w:p w14:paraId="5C92A898">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（4）方案不可行或者未提供得0分。</w:t>
            </w:r>
          </w:p>
          <w:p w14:paraId="79EB7A8D">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lang w:val="en-US" w:eastAsia="zh-CN"/>
              </w:rPr>
              <w:t>8.</w:t>
            </w:r>
            <w:r>
              <w:rPr>
                <w:rFonts w:hint="eastAsia" w:ascii="宋体" w:hAnsi="宋体" w:eastAsia="宋体" w:cs="Times New Roman"/>
                <w:kern w:val="2"/>
                <w:sz w:val="24"/>
                <w:szCs w:val="22"/>
                <w:highlight w:val="none"/>
                <w:lang w:val="en-US" w:eastAsia="zh-CN" w:bidi="ar"/>
              </w:rPr>
              <w:t>磋商小组根据</w:t>
            </w:r>
            <w:r>
              <w:rPr>
                <w:rFonts w:hint="eastAsia" w:ascii="宋体" w:hAnsi="宋体" w:cs="Times New Roman"/>
                <w:kern w:val="2"/>
                <w:sz w:val="24"/>
                <w:szCs w:val="22"/>
                <w:highlight w:val="none"/>
                <w:lang w:val="en-US" w:eastAsia="zh-CN" w:bidi="ar"/>
              </w:rPr>
              <w:t>磋商</w:t>
            </w:r>
            <w:r>
              <w:rPr>
                <w:rFonts w:hint="eastAsia" w:ascii="宋体" w:hAnsi="宋体" w:eastAsia="宋体" w:cs="Times New Roman"/>
                <w:kern w:val="2"/>
                <w:sz w:val="24"/>
                <w:szCs w:val="22"/>
                <w:highlight w:val="none"/>
                <w:lang w:val="en-US" w:eastAsia="zh-CN" w:bidi="ar"/>
              </w:rPr>
              <w:t>文件要求及供应商提供的</w:t>
            </w:r>
            <w:r>
              <w:rPr>
                <w:rFonts w:hint="eastAsia" w:ascii="宋体" w:hAnsi="宋体" w:eastAsia="宋体" w:cs="Times New Roman"/>
                <w:bCs/>
                <w:kern w:val="2"/>
                <w:sz w:val="24"/>
                <w:szCs w:val="22"/>
                <w:highlight w:val="none"/>
              </w:rPr>
              <w:t>施工方案中拟投入的主要施工机械、设备计划进行综合评分：</w:t>
            </w:r>
          </w:p>
          <w:p w14:paraId="32ADAD45">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（1）拟投入的主要施工机械、设备计划优于本项目采购需求，完整详细、可行性，实用性、针对性强，得5分；</w:t>
            </w:r>
          </w:p>
          <w:p w14:paraId="27BE655B">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（2）拟投入的主要施工机械、设备计划适合本项目采购需求，完整详细、具有可行性，实用性和针对性，得3分；</w:t>
            </w:r>
          </w:p>
          <w:p w14:paraId="2EAFACE1">
            <w:pPr>
              <w:autoSpaceDE w:val="0"/>
              <w:autoSpaceDN w:val="0"/>
              <w:adjustRightInd w:val="0"/>
              <w:spacing w:line="360" w:lineRule="auto"/>
              <w:jc w:val="left"/>
              <w:rPr>
                <w:rFonts w:hint="eastAsia" w:ascii="宋体" w:hAnsi="宋体" w:eastAsia="宋体" w:cs="Times New Roman"/>
                <w:bCs/>
                <w:kern w:val="2"/>
                <w:sz w:val="24"/>
                <w:szCs w:val="22"/>
                <w:highlight w:val="none"/>
              </w:rPr>
            </w:pPr>
            <w:r>
              <w:rPr>
                <w:rFonts w:hint="eastAsia" w:ascii="宋体" w:hAnsi="宋体" w:eastAsia="宋体" w:cs="Times New Roman"/>
                <w:bCs/>
                <w:kern w:val="2"/>
                <w:sz w:val="24"/>
                <w:szCs w:val="22"/>
                <w:highlight w:val="none"/>
              </w:rPr>
              <w:t>（3）拟投入的主要施工机械、设备计划基本适合本项目采购需求，可行性，实用性和针对性有待改善，得1分；</w:t>
            </w:r>
          </w:p>
          <w:p w14:paraId="4C724191">
            <w:pPr>
              <w:autoSpaceDE w:val="0"/>
              <w:autoSpaceDN w:val="0"/>
              <w:adjustRightInd w:val="0"/>
              <w:spacing w:line="360" w:lineRule="auto"/>
              <w:jc w:val="left"/>
              <w:rPr>
                <w:rFonts w:hint="default" w:eastAsia="宋体" w:cs="Times New Roman"/>
                <w:kern w:val="2"/>
                <w:sz w:val="24"/>
                <w:szCs w:val="22"/>
                <w:highlight w:val="none"/>
                <w:lang w:val="en-US" w:eastAsia="zh-CN"/>
              </w:rPr>
            </w:pPr>
            <w:r>
              <w:rPr>
                <w:rFonts w:hint="eastAsia" w:ascii="宋体" w:hAnsi="宋体" w:eastAsia="宋体" w:cs="Times New Roman"/>
                <w:bCs/>
                <w:kern w:val="2"/>
                <w:sz w:val="24"/>
                <w:szCs w:val="22"/>
                <w:highlight w:val="none"/>
              </w:rPr>
              <w:t>（4）方案不可行或者未提供得0分。</w:t>
            </w:r>
          </w:p>
        </w:tc>
        <w:tc>
          <w:tcPr>
            <w:tcW w:w="791" w:type="pct"/>
            <w:tcBorders>
              <w:top w:val="single" w:color="auto" w:sz="4" w:space="0"/>
              <w:left w:val="nil"/>
              <w:bottom w:val="single" w:color="auto" w:sz="4" w:space="0"/>
              <w:right w:val="single" w:color="auto" w:sz="4" w:space="0"/>
            </w:tcBorders>
            <w:vAlign w:val="center"/>
          </w:tcPr>
          <w:p w14:paraId="79BCF12A">
            <w:pPr>
              <w:autoSpaceDE w:val="0"/>
              <w:autoSpaceDN w:val="0"/>
              <w:adjustRightInd w:val="0"/>
              <w:spacing w:line="360" w:lineRule="auto"/>
              <w:jc w:val="center"/>
              <w:rPr>
                <w:rFonts w:hint="eastAsia" w:cs="Times New Roman"/>
                <w:b/>
                <w:bCs/>
                <w:kern w:val="2"/>
                <w:sz w:val="24"/>
                <w:szCs w:val="22"/>
                <w:highlight w:val="none"/>
                <w:lang w:val="en-US" w:eastAsia="zh-CN"/>
              </w:rPr>
            </w:pPr>
            <w:r>
              <w:rPr>
                <w:rFonts w:hint="eastAsia" w:cs="Times New Roman"/>
                <w:b/>
                <w:bCs/>
                <w:kern w:val="2"/>
                <w:sz w:val="24"/>
                <w:szCs w:val="22"/>
                <w:highlight w:val="none"/>
              </w:rPr>
              <w:t>0-</w:t>
            </w:r>
            <w:r>
              <w:rPr>
                <w:rFonts w:hint="eastAsia" w:cs="Times New Roman"/>
                <w:b/>
                <w:bCs/>
                <w:kern w:val="2"/>
                <w:sz w:val="24"/>
                <w:szCs w:val="22"/>
                <w:highlight w:val="none"/>
                <w:lang w:val="en-US" w:eastAsia="zh-CN"/>
              </w:rPr>
              <w:t>40</w:t>
            </w:r>
            <w:r>
              <w:rPr>
                <w:rFonts w:hint="eastAsia" w:cs="Times New Roman"/>
                <w:b/>
                <w:bCs/>
                <w:kern w:val="2"/>
                <w:sz w:val="24"/>
                <w:szCs w:val="22"/>
                <w:highlight w:val="none"/>
              </w:rPr>
              <w:t>分</w:t>
            </w:r>
          </w:p>
        </w:tc>
      </w:tr>
      <w:tr w14:paraId="320F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Borders>
              <w:left w:val="single" w:color="auto" w:sz="4" w:space="0"/>
              <w:right w:val="single" w:color="auto" w:sz="4" w:space="0"/>
            </w:tcBorders>
            <w:vAlign w:val="center"/>
          </w:tcPr>
          <w:p w14:paraId="6392D856">
            <w:pPr>
              <w:autoSpaceDE w:val="0"/>
              <w:autoSpaceDN w:val="0"/>
              <w:adjustRightInd w:val="0"/>
              <w:spacing w:line="360" w:lineRule="auto"/>
              <w:jc w:val="center"/>
              <w:rPr>
                <w:rFonts w:cs="Times New Roman"/>
                <w:b/>
                <w:bCs/>
                <w:kern w:val="2"/>
                <w:sz w:val="24"/>
                <w:szCs w:val="24"/>
                <w:highlight w:val="none"/>
              </w:rPr>
            </w:pPr>
          </w:p>
        </w:tc>
        <w:tc>
          <w:tcPr>
            <w:tcW w:w="717" w:type="pct"/>
            <w:tcBorders>
              <w:top w:val="single" w:color="auto" w:sz="4" w:space="0"/>
              <w:left w:val="nil"/>
              <w:bottom w:val="single" w:color="auto" w:sz="4" w:space="0"/>
              <w:right w:val="single" w:color="auto" w:sz="4" w:space="0"/>
            </w:tcBorders>
            <w:vAlign w:val="center"/>
          </w:tcPr>
          <w:p w14:paraId="382DFEBF">
            <w:pPr>
              <w:autoSpaceDE w:val="0"/>
              <w:autoSpaceDN w:val="0"/>
              <w:adjustRightInd w:val="0"/>
              <w:spacing w:line="360" w:lineRule="auto"/>
              <w:jc w:val="center"/>
              <w:rPr>
                <w:rFonts w:hint="eastAsia" w:cs="Times New Roman"/>
                <w:bCs/>
                <w:kern w:val="2"/>
                <w:sz w:val="24"/>
                <w:szCs w:val="22"/>
                <w:highlight w:val="none"/>
              </w:rPr>
            </w:pPr>
            <w:r>
              <w:rPr>
                <w:rFonts w:hint="eastAsia" w:ascii="宋体" w:hAnsi="宋体" w:eastAsia="宋体" w:cs="Times New Roman"/>
                <w:bCs/>
                <w:kern w:val="2"/>
                <w:sz w:val="24"/>
                <w:szCs w:val="22"/>
                <w:highlight w:val="none"/>
                <w:lang w:val="en-US" w:eastAsia="zh-CN"/>
              </w:rPr>
              <w:t>供应商</w:t>
            </w:r>
            <w:r>
              <w:rPr>
                <w:rFonts w:hint="eastAsia" w:ascii="宋体" w:hAnsi="宋体" w:eastAsia="宋体" w:cs="Times New Roman"/>
                <w:bCs/>
                <w:kern w:val="2"/>
                <w:sz w:val="24"/>
                <w:szCs w:val="22"/>
                <w:highlight w:val="none"/>
              </w:rPr>
              <w:t>认证</w:t>
            </w:r>
          </w:p>
        </w:tc>
        <w:tc>
          <w:tcPr>
            <w:tcW w:w="2802" w:type="pct"/>
            <w:tcBorders>
              <w:top w:val="single" w:color="auto" w:sz="4" w:space="0"/>
              <w:left w:val="nil"/>
              <w:bottom w:val="single" w:color="auto" w:sz="4" w:space="0"/>
              <w:right w:val="single" w:color="auto" w:sz="4" w:space="0"/>
            </w:tcBorders>
            <w:vAlign w:val="center"/>
          </w:tcPr>
          <w:p w14:paraId="1406F86A">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Times New Roman"/>
                <w:bCs/>
                <w:kern w:val="2"/>
                <w:sz w:val="24"/>
                <w:szCs w:val="22"/>
                <w:highlight w:val="none"/>
                <w:lang w:val="en-US" w:eastAsia="zh-CN" w:bidi="ar"/>
              </w:rPr>
            </w:pPr>
            <w:r>
              <w:rPr>
                <w:rFonts w:hint="eastAsia" w:ascii="宋体" w:hAnsi="宋体" w:eastAsia="宋体" w:cs="Times New Roman"/>
                <w:bCs/>
                <w:kern w:val="2"/>
                <w:sz w:val="24"/>
                <w:szCs w:val="22"/>
                <w:highlight w:val="none"/>
                <w:lang w:val="en-US" w:eastAsia="zh-CN" w:bidi="ar"/>
              </w:rPr>
              <w:t>供应商具有有效的:</w:t>
            </w:r>
            <w:r>
              <w:rPr>
                <w:rFonts w:hint="eastAsia" w:ascii="宋体" w:hAnsi="宋体" w:eastAsia="宋体" w:cs="Times New Roman"/>
                <w:bCs/>
                <w:kern w:val="2"/>
                <w:sz w:val="24"/>
                <w:szCs w:val="22"/>
                <w:highlight w:val="none"/>
                <w:lang w:val="en-US" w:eastAsia="zh-CN" w:bidi="ar"/>
              </w:rPr>
              <w:br w:type="textWrapping"/>
            </w:r>
            <w:r>
              <w:rPr>
                <w:rFonts w:hint="eastAsia" w:ascii="宋体" w:hAnsi="宋体" w:eastAsia="宋体" w:cs="Times New Roman"/>
                <w:bCs/>
                <w:kern w:val="2"/>
                <w:sz w:val="24"/>
                <w:szCs w:val="22"/>
                <w:highlight w:val="none"/>
                <w:lang w:val="en-US" w:eastAsia="zh-CN" w:bidi="ar"/>
              </w:rPr>
              <w:t>1、环境管理体系认证得2分，满分2分；</w:t>
            </w:r>
            <w:r>
              <w:rPr>
                <w:rFonts w:hint="eastAsia" w:ascii="宋体" w:hAnsi="宋体" w:eastAsia="宋体" w:cs="Times New Roman"/>
                <w:bCs/>
                <w:kern w:val="2"/>
                <w:sz w:val="24"/>
                <w:szCs w:val="22"/>
                <w:highlight w:val="none"/>
                <w:lang w:val="en-US" w:eastAsia="zh-CN" w:bidi="ar"/>
              </w:rPr>
              <w:br w:type="textWrapping"/>
            </w:r>
            <w:r>
              <w:rPr>
                <w:rFonts w:hint="eastAsia" w:ascii="宋体" w:hAnsi="宋体" w:eastAsia="宋体" w:cs="Times New Roman"/>
                <w:bCs/>
                <w:kern w:val="2"/>
                <w:sz w:val="24"/>
                <w:szCs w:val="22"/>
                <w:highlight w:val="none"/>
                <w:lang w:val="en-US" w:eastAsia="zh-CN" w:bidi="ar"/>
              </w:rPr>
              <w:t>2、质量管理体系认证得2分，满分2分；</w:t>
            </w:r>
            <w:r>
              <w:rPr>
                <w:rFonts w:hint="eastAsia" w:ascii="宋体" w:hAnsi="宋体" w:eastAsia="宋体" w:cs="Times New Roman"/>
                <w:bCs/>
                <w:kern w:val="2"/>
                <w:sz w:val="24"/>
                <w:szCs w:val="22"/>
                <w:highlight w:val="none"/>
                <w:lang w:val="en-US" w:eastAsia="zh-CN" w:bidi="ar"/>
              </w:rPr>
              <w:br w:type="textWrapping"/>
            </w:r>
            <w:r>
              <w:rPr>
                <w:rFonts w:hint="eastAsia" w:ascii="宋体" w:hAnsi="宋体" w:eastAsia="宋体" w:cs="Times New Roman"/>
                <w:bCs/>
                <w:kern w:val="2"/>
                <w:sz w:val="24"/>
                <w:szCs w:val="22"/>
                <w:highlight w:val="none"/>
                <w:lang w:val="en-US" w:eastAsia="zh-CN" w:bidi="ar"/>
              </w:rPr>
              <w:t>3、职业健康安全管理体系认证得2分，满分2分。</w:t>
            </w:r>
          </w:p>
          <w:p w14:paraId="34C8497C">
            <w:pPr>
              <w:autoSpaceDE w:val="0"/>
              <w:autoSpaceDN w:val="0"/>
              <w:adjustRightInd w:val="0"/>
              <w:spacing w:line="360" w:lineRule="auto"/>
              <w:jc w:val="left"/>
              <w:rPr>
                <w:rFonts w:hint="eastAsia" w:cs="Times New Roman"/>
                <w:b/>
                <w:kern w:val="2"/>
                <w:sz w:val="24"/>
                <w:szCs w:val="22"/>
                <w:highlight w:val="none"/>
              </w:rPr>
            </w:pPr>
            <w:r>
              <w:rPr>
                <w:rFonts w:hint="eastAsia" w:ascii="宋体" w:hAnsi="宋体" w:eastAsia="宋体" w:cs="Times New Roman"/>
                <w:b/>
                <w:bCs/>
                <w:kern w:val="2"/>
                <w:sz w:val="24"/>
                <w:szCs w:val="22"/>
                <w:highlight w:val="none"/>
              </w:rPr>
              <w:t>注：响应文件中提供全国认证认可信息公共服务平台网站认证信息查询截图，未提供的不得分。</w:t>
            </w:r>
          </w:p>
        </w:tc>
        <w:tc>
          <w:tcPr>
            <w:tcW w:w="791" w:type="pct"/>
            <w:tcBorders>
              <w:top w:val="single" w:color="auto" w:sz="4" w:space="0"/>
              <w:left w:val="nil"/>
              <w:bottom w:val="single" w:color="auto" w:sz="4" w:space="0"/>
              <w:right w:val="single" w:color="auto" w:sz="4" w:space="0"/>
            </w:tcBorders>
            <w:vAlign w:val="center"/>
          </w:tcPr>
          <w:p w14:paraId="395F1E36">
            <w:pPr>
              <w:autoSpaceDE w:val="0"/>
              <w:autoSpaceDN w:val="0"/>
              <w:adjustRightInd w:val="0"/>
              <w:spacing w:line="360" w:lineRule="auto"/>
              <w:jc w:val="center"/>
              <w:rPr>
                <w:rFonts w:hint="default" w:eastAsia="宋体" w:cs="Times New Roman"/>
                <w:b/>
                <w:bCs/>
                <w:kern w:val="2"/>
                <w:sz w:val="24"/>
                <w:szCs w:val="22"/>
                <w:highlight w:val="none"/>
                <w:lang w:val="en-US" w:eastAsia="zh-CN"/>
              </w:rPr>
            </w:pPr>
            <w:r>
              <w:rPr>
                <w:rFonts w:hint="eastAsia" w:cs="Times New Roman"/>
                <w:b/>
                <w:bCs/>
                <w:kern w:val="2"/>
                <w:sz w:val="24"/>
                <w:szCs w:val="22"/>
                <w:highlight w:val="none"/>
                <w:lang w:val="en-US" w:eastAsia="zh-CN"/>
              </w:rPr>
              <w:t>0-6分</w:t>
            </w:r>
          </w:p>
        </w:tc>
      </w:tr>
      <w:tr w14:paraId="63AD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Borders>
              <w:left w:val="single" w:color="auto" w:sz="4" w:space="0"/>
              <w:right w:val="single" w:color="auto" w:sz="4" w:space="0"/>
            </w:tcBorders>
            <w:vAlign w:val="center"/>
          </w:tcPr>
          <w:p w14:paraId="0725BFB1">
            <w:pPr>
              <w:autoSpaceDE w:val="0"/>
              <w:autoSpaceDN w:val="0"/>
              <w:adjustRightInd w:val="0"/>
              <w:spacing w:line="360" w:lineRule="auto"/>
              <w:jc w:val="center"/>
              <w:rPr>
                <w:rFonts w:cs="Times New Roman"/>
                <w:b/>
                <w:bCs/>
                <w:kern w:val="2"/>
                <w:sz w:val="24"/>
                <w:szCs w:val="24"/>
                <w:highlight w:val="none"/>
              </w:rPr>
            </w:pPr>
          </w:p>
        </w:tc>
        <w:tc>
          <w:tcPr>
            <w:tcW w:w="717" w:type="pct"/>
            <w:tcBorders>
              <w:top w:val="single" w:color="auto" w:sz="4" w:space="0"/>
              <w:left w:val="nil"/>
              <w:bottom w:val="single" w:color="auto" w:sz="4" w:space="0"/>
              <w:right w:val="single" w:color="auto" w:sz="4" w:space="0"/>
            </w:tcBorders>
            <w:vAlign w:val="center"/>
          </w:tcPr>
          <w:p w14:paraId="331FBBDE">
            <w:pPr>
              <w:autoSpaceDE w:val="0"/>
              <w:autoSpaceDN w:val="0"/>
              <w:adjustRightInd w:val="0"/>
              <w:spacing w:line="360" w:lineRule="auto"/>
              <w:jc w:val="center"/>
              <w:rPr>
                <w:rFonts w:cs="Times New Roman"/>
                <w:bCs/>
                <w:kern w:val="2"/>
                <w:sz w:val="24"/>
                <w:szCs w:val="24"/>
                <w:highlight w:val="none"/>
              </w:rPr>
            </w:pPr>
            <w:r>
              <w:rPr>
                <w:rFonts w:hint="eastAsia" w:cs="Times New Roman"/>
                <w:bCs/>
                <w:kern w:val="2"/>
                <w:sz w:val="24"/>
                <w:szCs w:val="22"/>
                <w:highlight w:val="none"/>
              </w:rPr>
              <w:t>拟委任人员资格</w:t>
            </w:r>
          </w:p>
        </w:tc>
        <w:tc>
          <w:tcPr>
            <w:tcW w:w="2802" w:type="pct"/>
            <w:tcBorders>
              <w:top w:val="single" w:color="auto" w:sz="4" w:space="0"/>
              <w:left w:val="nil"/>
              <w:bottom w:val="single" w:color="auto" w:sz="4" w:space="0"/>
              <w:right w:val="single" w:color="auto" w:sz="4" w:space="0"/>
            </w:tcBorders>
            <w:vAlign w:val="center"/>
          </w:tcPr>
          <w:p w14:paraId="4F2B39E5">
            <w:pPr>
              <w:autoSpaceDE w:val="0"/>
              <w:autoSpaceDN w:val="0"/>
              <w:adjustRightInd w:val="0"/>
              <w:spacing w:line="360" w:lineRule="auto"/>
              <w:jc w:val="left"/>
              <w:rPr>
                <w:rFonts w:hint="eastAsia" w:cs="Times New Roman"/>
                <w:bCs/>
                <w:kern w:val="2"/>
                <w:sz w:val="24"/>
                <w:szCs w:val="22"/>
              </w:rPr>
            </w:pPr>
            <w:r>
              <w:rPr>
                <w:rFonts w:hint="eastAsia" w:cs="Times New Roman"/>
                <w:bCs/>
                <w:kern w:val="2"/>
                <w:sz w:val="24"/>
                <w:szCs w:val="22"/>
              </w:rPr>
              <w:t>一、供应商拟委任项目经理具有</w:t>
            </w:r>
            <w:r>
              <w:rPr>
                <w:rFonts w:hint="eastAsia" w:cs="Times New Roman"/>
                <w:bCs/>
                <w:kern w:val="2"/>
                <w:sz w:val="24"/>
                <w:szCs w:val="22"/>
                <w:lang w:val="en-US" w:eastAsia="zh-CN"/>
              </w:rPr>
              <w:t>建筑</w:t>
            </w:r>
            <w:r>
              <w:rPr>
                <w:rFonts w:hint="eastAsia" w:cs="Times New Roman"/>
                <w:bCs/>
                <w:kern w:val="2"/>
                <w:sz w:val="24"/>
                <w:szCs w:val="22"/>
              </w:rPr>
              <w:t>工程相关专业中级及以上职称的得</w:t>
            </w:r>
            <w:r>
              <w:rPr>
                <w:rFonts w:hint="eastAsia" w:cs="Times New Roman"/>
                <w:bCs/>
                <w:kern w:val="2"/>
                <w:sz w:val="24"/>
                <w:szCs w:val="22"/>
                <w:lang w:val="en-US" w:eastAsia="zh-CN"/>
              </w:rPr>
              <w:t>4</w:t>
            </w:r>
            <w:r>
              <w:rPr>
                <w:rFonts w:hint="eastAsia" w:cs="Times New Roman"/>
                <w:bCs/>
                <w:kern w:val="2"/>
                <w:sz w:val="24"/>
                <w:szCs w:val="22"/>
              </w:rPr>
              <w:t>分，满分</w:t>
            </w:r>
            <w:r>
              <w:rPr>
                <w:rFonts w:hint="eastAsia" w:cs="Times New Roman"/>
                <w:bCs/>
                <w:kern w:val="2"/>
                <w:sz w:val="24"/>
                <w:szCs w:val="22"/>
                <w:lang w:val="en-US" w:eastAsia="zh-CN"/>
              </w:rPr>
              <w:t>4</w:t>
            </w:r>
            <w:r>
              <w:rPr>
                <w:rFonts w:hint="eastAsia" w:cs="Times New Roman"/>
                <w:bCs/>
                <w:kern w:val="2"/>
                <w:sz w:val="24"/>
                <w:szCs w:val="22"/>
              </w:rPr>
              <w:t>分。</w:t>
            </w:r>
          </w:p>
          <w:p w14:paraId="074F230D">
            <w:pPr>
              <w:autoSpaceDE w:val="0"/>
              <w:autoSpaceDN w:val="0"/>
              <w:adjustRightInd w:val="0"/>
              <w:spacing w:line="360" w:lineRule="auto"/>
              <w:jc w:val="left"/>
              <w:rPr>
                <w:rFonts w:hint="eastAsia" w:cs="Times New Roman"/>
                <w:bCs/>
                <w:kern w:val="2"/>
                <w:sz w:val="24"/>
                <w:szCs w:val="22"/>
              </w:rPr>
            </w:pPr>
            <w:r>
              <w:rPr>
                <w:rFonts w:hint="eastAsia" w:cs="Times New Roman"/>
                <w:bCs/>
                <w:kern w:val="2"/>
                <w:sz w:val="24"/>
                <w:szCs w:val="22"/>
              </w:rPr>
              <w:t>二、供应商拟为本项目配备的技术负责人具有</w:t>
            </w:r>
            <w:r>
              <w:rPr>
                <w:rFonts w:hint="eastAsia" w:cs="Times New Roman"/>
                <w:bCs/>
                <w:kern w:val="2"/>
                <w:sz w:val="24"/>
                <w:szCs w:val="22"/>
                <w:lang w:val="en-US" w:eastAsia="zh-CN"/>
              </w:rPr>
              <w:t>建筑</w:t>
            </w:r>
            <w:r>
              <w:rPr>
                <w:rFonts w:hint="eastAsia" w:cs="Times New Roman"/>
                <w:bCs/>
                <w:kern w:val="2"/>
                <w:sz w:val="24"/>
                <w:szCs w:val="22"/>
              </w:rPr>
              <w:t>工程相关专业中级及以上职称的得</w:t>
            </w:r>
            <w:r>
              <w:rPr>
                <w:rFonts w:hint="eastAsia" w:cs="Times New Roman"/>
                <w:bCs/>
                <w:kern w:val="2"/>
                <w:sz w:val="24"/>
                <w:szCs w:val="22"/>
                <w:lang w:val="en-US" w:eastAsia="zh-CN"/>
              </w:rPr>
              <w:t>4</w:t>
            </w:r>
            <w:r>
              <w:rPr>
                <w:rFonts w:hint="eastAsia" w:cs="Times New Roman"/>
                <w:bCs/>
                <w:kern w:val="2"/>
                <w:sz w:val="24"/>
                <w:szCs w:val="22"/>
              </w:rPr>
              <w:t>分，满分</w:t>
            </w:r>
            <w:r>
              <w:rPr>
                <w:rFonts w:hint="eastAsia" w:cs="Times New Roman"/>
                <w:bCs/>
                <w:kern w:val="2"/>
                <w:sz w:val="24"/>
                <w:szCs w:val="22"/>
                <w:lang w:val="en-US" w:eastAsia="zh-CN"/>
              </w:rPr>
              <w:t>4</w:t>
            </w:r>
            <w:r>
              <w:rPr>
                <w:rFonts w:hint="eastAsia" w:cs="Times New Roman"/>
                <w:bCs/>
                <w:kern w:val="2"/>
                <w:sz w:val="24"/>
                <w:szCs w:val="22"/>
              </w:rPr>
              <w:t>分。</w:t>
            </w:r>
          </w:p>
          <w:p w14:paraId="1B3C8747">
            <w:pPr>
              <w:autoSpaceDE w:val="0"/>
              <w:autoSpaceDN w:val="0"/>
              <w:adjustRightInd w:val="0"/>
              <w:spacing w:line="360" w:lineRule="auto"/>
              <w:jc w:val="left"/>
              <w:rPr>
                <w:rFonts w:hint="eastAsia" w:cs="Times New Roman"/>
                <w:bCs/>
                <w:kern w:val="2"/>
                <w:sz w:val="24"/>
                <w:szCs w:val="22"/>
                <w:lang w:val="en-US" w:eastAsia="zh-CN"/>
              </w:rPr>
            </w:pPr>
            <w:r>
              <w:rPr>
                <w:rFonts w:hint="eastAsia" w:cs="Times New Roman"/>
                <w:bCs/>
                <w:kern w:val="2"/>
                <w:sz w:val="24"/>
                <w:szCs w:val="22"/>
                <w:lang w:val="en-US" w:eastAsia="zh-CN"/>
              </w:rPr>
              <w:t>三、</w:t>
            </w:r>
            <w:r>
              <w:rPr>
                <w:rFonts w:hint="eastAsia" w:cs="Times New Roman"/>
                <w:bCs/>
                <w:kern w:val="2"/>
                <w:sz w:val="24"/>
                <w:szCs w:val="22"/>
              </w:rPr>
              <w:t>供应商拟为本项目配备的</w:t>
            </w:r>
            <w:r>
              <w:rPr>
                <w:rFonts w:hint="eastAsia" w:cs="Times New Roman"/>
                <w:bCs/>
                <w:kern w:val="2"/>
                <w:sz w:val="24"/>
                <w:szCs w:val="22"/>
                <w:lang w:val="en-US" w:eastAsia="zh-CN"/>
              </w:rPr>
              <w:t>其他人员</w:t>
            </w:r>
            <w:r>
              <w:rPr>
                <w:rFonts w:hint="eastAsia" w:cs="Times New Roman"/>
                <w:bCs/>
                <w:kern w:val="2"/>
                <w:sz w:val="24"/>
                <w:szCs w:val="22"/>
              </w:rPr>
              <w:t>具有</w:t>
            </w:r>
            <w:r>
              <w:rPr>
                <w:rFonts w:hint="eastAsia" w:cs="Times New Roman"/>
                <w:bCs/>
                <w:kern w:val="2"/>
                <w:sz w:val="24"/>
                <w:szCs w:val="22"/>
                <w:lang w:val="en-US" w:eastAsia="zh-CN"/>
              </w:rPr>
              <w:t>建筑工程相关专业</w:t>
            </w:r>
            <w:r>
              <w:rPr>
                <w:rFonts w:hint="eastAsia" w:cs="Times New Roman"/>
                <w:bCs/>
                <w:kern w:val="2"/>
                <w:sz w:val="24"/>
                <w:szCs w:val="22"/>
              </w:rPr>
              <w:t>中级及以上职称的得</w:t>
            </w:r>
            <w:r>
              <w:rPr>
                <w:rFonts w:hint="eastAsia" w:cs="Times New Roman"/>
                <w:bCs/>
                <w:kern w:val="2"/>
                <w:sz w:val="24"/>
                <w:szCs w:val="22"/>
                <w:lang w:val="en-US" w:eastAsia="zh-CN"/>
              </w:rPr>
              <w:t>4</w:t>
            </w:r>
            <w:r>
              <w:rPr>
                <w:rFonts w:hint="eastAsia" w:cs="Times New Roman"/>
                <w:bCs/>
                <w:kern w:val="2"/>
                <w:sz w:val="24"/>
                <w:szCs w:val="22"/>
              </w:rPr>
              <w:t>分，满分</w:t>
            </w:r>
            <w:r>
              <w:rPr>
                <w:rFonts w:hint="eastAsia" w:cs="Times New Roman"/>
                <w:bCs/>
                <w:kern w:val="2"/>
                <w:sz w:val="24"/>
                <w:szCs w:val="22"/>
                <w:lang w:val="en-US" w:eastAsia="zh-CN"/>
              </w:rPr>
              <w:t>4</w:t>
            </w:r>
            <w:r>
              <w:rPr>
                <w:rFonts w:hint="eastAsia" w:cs="Times New Roman"/>
                <w:bCs/>
                <w:kern w:val="2"/>
                <w:sz w:val="24"/>
                <w:szCs w:val="22"/>
              </w:rPr>
              <w:t>分。</w:t>
            </w:r>
          </w:p>
          <w:p w14:paraId="05024226">
            <w:pPr>
              <w:autoSpaceDE w:val="0"/>
              <w:autoSpaceDN w:val="0"/>
              <w:adjustRightInd w:val="0"/>
              <w:spacing w:line="360" w:lineRule="auto"/>
              <w:jc w:val="left"/>
              <w:rPr>
                <w:rFonts w:hint="eastAsia" w:cs="Times New Roman"/>
                <w:b/>
                <w:kern w:val="2"/>
                <w:sz w:val="24"/>
                <w:szCs w:val="22"/>
              </w:rPr>
            </w:pPr>
            <w:r>
              <w:rPr>
                <w:rFonts w:hint="eastAsia" w:cs="Times New Roman"/>
                <w:b/>
                <w:kern w:val="2"/>
                <w:sz w:val="24"/>
                <w:szCs w:val="22"/>
              </w:rPr>
              <w:t>注：</w:t>
            </w:r>
          </w:p>
          <w:p w14:paraId="259DECDF">
            <w:pPr>
              <w:autoSpaceDE w:val="0"/>
              <w:autoSpaceDN w:val="0"/>
              <w:adjustRightInd w:val="0"/>
              <w:spacing w:line="360" w:lineRule="auto"/>
              <w:jc w:val="left"/>
              <w:rPr>
                <w:rFonts w:hint="eastAsia" w:cs="Times New Roman"/>
                <w:b/>
                <w:kern w:val="2"/>
                <w:sz w:val="24"/>
                <w:szCs w:val="22"/>
              </w:rPr>
            </w:pPr>
            <w:r>
              <w:rPr>
                <w:rFonts w:hint="eastAsia" w:cs="Times New Roman"/>
                <w:b/>
                <w:kern w:val="2"/>
                <w:sz w:val="24"/>
                <w:szCs w:val="22"/>
                <w:lang w:val="en-US" w:eastAsia="zh-CN"/>
              </w:rPr>
              <w:t>1、以上人员</w:t>
            </w:r>
            <w:r>
              <w:rPr>
                <w:rFonts w:ascii="宋体" w:hAnsi="宋体" w:eastAsia="宋体" w:cs="宋体"/>
                <w:b/>
                <w:bCs/>
                <w:color w:val="000000"/>
                <w:kern w:val="2"/>
                <w:sz w:val="24"/>
                <w:szCs w:val="24"/>
              </w:rPr>
              <w:t>不得兼任</w:t>
            </w:r>
            <w:r>
              <w:rPr>
                <w:rFonts w:hint="eastAsia" w:cs="Times New Roman"/>
                <w:b/>
                <w:kern w:val="2"/>
                <w:sz w:val="24"/>
                <w:szCs w:val="22"/>
              </w:rPr>
              <w:t>。</w:t>
            </w:r>
          </w:p>
          <w:p w14:paraId="7CE03409">
            <w:pPr>
              <w:autoSpaceDE w:val="0"/>
              <w:autoSpaceDN w:val="0"/>
              <w:adjustRightInd w:val="0"/>
              <w:spacing w:line="360" w:lineRule="auto"/>
              <w:jc w:val="left"/>
              <w:rPr>
                <w:rFonts w:hint="eastAsia" w:eastAsia="宋体" w:cs="Times New Roman"/>
                <w:bCs/>
                <w:color w:val="FF0000"/>
                <w:kern w:val="2"/>
                <w:sz w:val="24"/>
                <w:szCs w:val="24"/>
                <w:highlight w:val="none"/>
                <w:lang w:eastAsia="zh-CN"/>
              </w:rPr>
            </w:pPr>
            <w:r>
              <w:rPr>
                <w:rFonts w:hint="eastAsia" w:cs="Times New Roman"/>
                <w:b/>
                <w:kern w:val="2"/>
                <w:sz w:val="24"/>
                <w:szCs w:val="22"/>
                <w:lang w:val="en-US" w:eastAsia="zh-CN"/>
              </w:rPr>
              <w:t>2、</w:t>
            </w:r>
            <w:r>
              <w:rPr>
                <w:rFonts w:hint="eastAsia" w:cs="Times New Roman"/>
                <w:b/>
                <w:kern w:val="2"/>
                <w:sz w:val="24"/>
                <w:szCs w:val="22"/>
              </w:rPr>
              <w:t>响应文件中须提供</w:t>
            </w:r>
            <w:r>
              <w:rPr>
                <w:rFonts w:hint="eastAsia" w:cs="Times New Roman"/>
                <w:b/>
                <w:kern w:val="2"/>
                <w:sz w:val="24"/>
                <w:szCs w:val="22"/>
                <w:lang w:val="en-US" w:eastAsia="zh-CN"/>
              </w:rPr>
              <w:t>以上人员</w:t>
            </w:r>
            <w:r>
              <w:rPr>
                <w:rFonts w:hint="eastAsia" w:cs="Times New Roman"/>
                <w:b/>
                <w:kern w:val="2"/>
                <w:sz w:val="24"/>
                <w:szCs w:val="22"/>
              </w:rPr>
              <w:t>证书，以及提供供应商为上述人员缴纳的自202</w:t>
            </w:r>
            <w:r>
              <w:rPr>
                <w:rFonts w:hint="eastAsia" w:cs="Times New Roman"/>
                <w:b/>
                <w:kern w:val="2"/>
                <w:sz w:val="24"/>
                <w:szCs w:val="22"/>
                <w:lang w:val="en-US" w:eastAsia="zh-CN"/>
              </w:rPr>
              <w:t>5</w:t>
            </w:r>
            <w:r>
              <w:rPr>
                <w:rFonts w:hint="eastAsia" w:cs="Times New Roman"/>
                <w:b/>
                <w:kern w:val="2"/>
                <w:sz w:val="24"/>
                <w:szCs w:val="22"/>
              </w:rPr>
              <w:t>年</w:t>
            </w:r>
            <w:r>
              <w:rPr>
                <w:rFonts w:hint="eastAsia" w:cs="Times New Roman"/>
                <w:b/>
                <w:kern w:val="2"/>
                <w:sz w:val="24"/>
                <w:szCs w:val="22"/>
                <w:lang w:val="en-US" w:eastAsia="zh-CN"/>
              </w:rPr>
              <w:t>7</w:t>
            </w:r>
            <w:r>
              <w:rPr>
                <w:rFonts w:hint="eastAsia" w:cs="Times New Roman"/>
                <w:b/>
                <w:kern w:val="2"/>
                <w:sz w:val="24"/>
                <w:szCs w:val="22"/>
              </w:rPr>
              <w:t>月1日以来任意一个月的社保证明材料（</w:t>
            </w:r>
            <w:r>
              <w:rPr>
                <w:rFonts w:hint="eastAsia" w:cs="Times New Roman"/>
                <w:b/>
                <w:kern w:val="2"/>
                <w:sz w:val="24"/>
                <w:szCs w:val="22"/>
                <w:lang w:val="en-US" w:eastAsia="zh-CN"/>
              </w:rPr>
              <w:t>社保证明材料至少含养老保险</w:t>
            </w:r>
            <w:r>
              <w:rPr>
                <w:rFonts w:hint="eastAsia" w:cs="Times New Roman"/>
                <w:b/>
                <w:kern w:val="2"/>
                <w:sz w:val="24"/>
                <w:szCs w:val="22"/>
              </w:rPr>
              <w:t>），否则不予认可</w:t>
            </w:r>
            <w:r>
              <w:rPr>
                <w:rFonts w:hint="eastAsia" w:cs="Times New Roman"/>
                <w:b/>
                <w:kern w:val="2"/>
                <w:sz w:val="24"/>
                <w:szCs w:val="22"/>
                <w:lang w:eastAsia="zh-CN"/>
              </w:rPr>
              <w:t>。</w:t>
            </w:r>
          </w:p>
        </w:tc>
        <w:tc>
          <w:tcPr>
            <w:tcW w:w="791" w:type="pct"/>
            <w:tcBorders>
              <w:top w:val="single" w:color="auto" w:sz="4" w:space="0"/>
              <w:left w:val="nil"/>
              <w:bottom w:val="single" w:color="auto" w:sz="4" w:space="0"/>
              <w:right w:val="single" w:color="auto" w:sz="4" w:space="0"/>
            </w:tcBorders>
            <w:vAlign w:val="center"/>
          </w:tcPr>
          <w:p w14:paraId="53A54F11">
            <w:pPr>
              <w:autoSpaceDE w:val="0"/>
              <w:autoSpaceDN w:val="0"/>
              <w:adjustRightInd w:val="0"/>
              <w:spacing w:line="360" w:lineRule="auto"/>
              <w:jc w:val="center"/>
              <w:rPr>
                <w:rFonts w:cs="Times New Roman"/>
                <w:b/>
                <w:bCs/>
                <w:kern w:val="2"/>
                <w:sz w:val="24"/>
                <w:szCs w:val="24"/>
                <w:highlight w:val="none"/>
              </w:rPr>
            </w:pPr>
            <w:r>
              <w:rPr>
                <w:rFonts w:hint="eastAsia" w:cs="Times New Roman"/>
                <w:b/>
                <w:bCs/>
                <w:kern w:val="2"/>
                <w:sz w:val="24"/>
                <w:szCs w:val="22"/>
                <w:highlight w:val="none"/>
              </w:rPr>
              <w:t>0-</w:t>
            </w:r>
            <w:r>
              <w:rPr>
                <w:rFonts w:hint="eastAsia" w:cs="Times New Roman"/>
                <w:b/>
                <w:bCs/>
                <w:kern w:val="2"/>
                <w:sz w:val="24"/>
                <w:szCs w:val="22"/>
                <w:highlight w:val="none"/>
                <w:lang w:val="en-US" w:eastAsia="zh-CN"/>
              </w:rPr>
              <w:t>12</w:t>
            </w:r>
            <w:r>
              <w:rPr>
                <w:rFonts w:hint="eastAsia" w:cs="Times New Roman"/>
                <w:b/>
                <w:bCs/>
                <w:kern w:val="2"/>
                <w:sz w:val="24"/>
                <w:szCs w:val="22"/>
                <w:highlight w:val="none"/>
              </w:rPr>
              <w:t>分</w:t>
            </w:r>
          </w:p>
        </w:tc>
      </w:tr>
      <w:tr w14:paraId="5069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Borders>
              <w:left w:val="single" w:color="auto" w:sz="4" w:space="0"/>
              <w:right w:val="single" w:color="auto" w:sz="4" w:space="0"/>
            </w:tcBorders>
            <w:vAlign w:val="center"/>
          </w:tcPr>
          <w:p w14:paraId="0A6E08AE">
            <w:pPr>
              <w:widowControl/>
              <w:autoSpaceDE w:val="0"/>
              <w:autoSpaceDN w:val="0"/>
              <w:adjustRightInd w:val="0"/>
              <w:jc w:val="left"/>
              <w:rPr>
                <w:rFonts w:cs="Times New Roman"/>
                <w:b/>
                <w:bCs/>
                <w:kern w:val="2"/>
                <w:sz w:val="24"/>
                <w:szCs w:val="24"/>
                <w:highlight w:val="none"/>
              </w:rPr>
            </w:pPr>
          </w:p>
        </w:tc>
        <w:tc>
          <w:tcPr>
            <w:tcW w:w="717" w:type="pct"/>
            <w:tcBorders>
              <w:top w:val="single" w:color="auto" w:sz="4" w:space="0"/>
              <w:left w:val="nil"/>
              <w:bottom w:val="single" w:color="auto" w:sz="4" w:space="0"/>
              <w:right w:val="single" w:color="auto" w:sz="4" w:space="0"/>
            </w:tcBorders>
            <w:vAlign w:val="center"/>
          </w:tcPr>
          <w:p w14:paraId="1BD2D831">
            <w:pPr>
              <w:autoSpaceDE w:val="0"/>
              <w:autoSpaceDN w:val="0"/>
              <w:adjustRightInd w:val="0"/>
              <w:spacing w:line="360" w:lineRule="auto"/>
              <w:jc w:val="center"/>
              <w:rPr>
                <w:rFonts w:cs="Times New Roman"/>
                <w:color w:val="000000"/>
                <w:kern w:val="2"/>
                <w:sz w:val="24"/>
                <w:szCs w:val="24"/>
                <w:highlight w:val="none"/>
              </w:rPr>
            </w:pPr>
            <w:r>
              <w:rPr>
                <w:rFonts w:hint="eastAsia" w:cs="Times New Roman"/>
                <w:color w:val="000000"/>
                <w:kern w:val="2"/>
                <w:sz w:val="24"/>
                <w:szCs w:val="22"/>
                <w:highlight w:val="none"/>
              </w:rPr>
              <w:t>供应商业绩</w:t>
            </w:r>
          </w:p>
        </w:tc>
        <w:tc>
          <w:tcPr>
            <w:tcW w:w="2802" w:type="pct"/>
            <w:tcBorders>
              <w:top w:val="single" w:color="auto" w:sz="4" w:space="0"/>
              <w:left w:val="nil"/>
              <w:bottom w:val="single" w:color="auto" w:sz="4" w:space="0"/>
              <w:right w:val="single" w:color="auto" w:sz="4" w:space="0"/>
            </w:tcBorders>
            <w:vAlign w:val="center"/>
          </w:tcPr>
          <w:p w14:paraId="6BF6D056">
            <w:pPr>
              <w:autoSpaceDE w:val="0"/>
              <w:autoSpaceDN w:val="0"/>
              <w:adjustRightInd w:val="0"/>
              <w:spacing w:line="360" w:lineRule="auto"/>
              <w:jc w:val="left"/>
              <w:rPr>
                <w:rFonts w:cs="Times New Roman"/>
                <w:color w:val="000000"/>
                <w:kern w:val="0"/>
                <w:sz w:val="24"/>
                <w:szCs w:val="24"/>
              </w:rPr>
            </w:pPr>
            <w:r>
              <w:rPr>
                <w:rFonts w:hint="eastAsia" w:cs="Times New Roman"/>
                <w:color w:val="000000"/>
                <w:kern w:val="2"/>
                <w:sz w:val="24"/>
                <w:szCs w:val="22"/>
              </w:rPr>
              <w:t>自202</w:t>
            </w:r>
            <w:r>
              <w:rPr>
                <w:rFonts w:hint="eastAsia" w:cs="Times New Roman"/>
                <w:color w:val="000000"/>
                <w:kern w:val="2"/>
                <w:sz w:val="24"/>
                <w:szCs w:val="22"/>
                <w:lang w:val="en-US" w:eastAsia="zh-CN"/>
              </w:rPr>
              <w:t>2</w:t>
            </w:r>
            <w:r>
              <w:rPr>
                <w:rFonts w:hint="eastAsia" w:cs="Times New Roman"/>
                <w:color w:val="000000"/>
                <w:kern w:val="2"/>
                <w:sz w:val="24"/>
                <w:szCs w:val="22"/>
              </w:rPr>
              <w:t>年1月1日以来（以竣工验收日期为准），供应商在中华人民共和国境内具有</w:t>
            </w:r>
            <w:r>
              <w:rPr>
                <w:rFonts w:hint="eastAsia" w:cs="Times New Roman" w:asciiTheme="minorEastAsia" w:hAnsiTheme="minorEastAsia" w:eastAsiaTheme="minorEastAsia"/>
                <w:bCs/>
                <w:kern w:val="2"/>
                <w:sz w:val="24"/>
                <w:szCs w:val="22"/>
                <w:highlight w:val="none"/>
              </w:rPr>
              <w:t>建筑</w:t>
            </w:r>
            <w:r>
              <w:rPr>
                <w:rFonts w:hint="eastAsia" w:cs="Times New Roman"/>
                <w:bCs/>
                <w:kern w:val="2"/>
                <w:sz w:val="24"/>
                <w:szCs w:val="22"/>
              </w:rPr>
              <w:t>工程</w:t>
            </w:r>
            <w:r>
              <w:rPr>
                <w:rFonts w:hint="eastAsia" w:cs="Times New Roman"/>
                <w:bCs/>
                <w:kern w:val="2"/>
                <w:sz w:val="24"/>
                <w:szCs w:val="22"/>
                <w:lang w:eastAsia="zh-CN"/>
              </w:rPr>
              <w:t>（</w:t>
            </w:r>
            <w:r>
              <w:rPr>
                <w:rFonts w:hint="eastAsia" w:cs="Times New Roman"/>
                <w:bCs/>
                <w:kern w:val="2"/>
                <w:sz w:val="24"/>
                <w:szCs w:val="22"/>
                <w:lang w:val="en-US" w:eastAsia="zh-CN"/>
              </w:rPr>
              <w:t>或建筑维修或建筑改造</w:t>
            </w:r>
            <w:r>
              <w:rPr>
                <w:rFonts w:hint="eastAsia" w:cs="Times New Roman"/>
                <w:bCs/>
                <w:kern w:val="2"/>
                <w:sz w:val="24"/>
                <w:szCs w:val="22"/>
                <w:lang w:eastAsia="zh-CN"/>
              </w:rPr>
              <w:t>）</w:t>
            </w:r>
            <w:r>
              <w:rPr>
                <w:rFonts w:hint="eastAsia" w:cs="Times New Roman" w:asciiTheme="minorEastAsia" w:hAnsiTheme="minorEastAsia" w:eastAsiaTheme="minorEastAsia"/>
                <w:bCs/>
                <w:kern w:val="2"/>
                <w:sz w:val="24"/>
                <w:szCs w:val="22"/>
              </w:rPr>
              <w:t>施工业绩的</w:t>
            </w:r>
            <w:r>
              <w:rPr>
                <w:rFonts w:hint="eastAsia" w:cs="Times New Roman"/>
                <w:color w:val="000000"/>
                <w:kern w:val="2"/>
                <w:sz w:val="24"/>
                <w:szCs w:val="22"/>
              </w:rPr>
              <w:t>，每提供1个得</w:t>
            </w:r>
            <w:r>
              <w:rPr>
                <w:rFonts w:hint="eastAsia" w:cs="Times New Roman"/>
                <w:color w:val="000000"/>
                <w:kern w:val="2"/>
                <w:sz w:val="24"/>
                <w:szCs w:val="22"/>
                <w:lang w:val="en-US" w:eastAsia="zh-CN"/>
              </w:rPr>
              <w:t>3</w:t>
            </w:r>
            <w:r>
              <w:rPr>
                <w:rFonts w:hint="eastAsia" w:cs="Times New Roman"/>
                <w:color w:val="000000"/>
                <w:kern w:val="2"/>
                <w:sz w:val="24"/>
                <w:szCs w:val="22"/>
              </w:rPr>
              <w:t>分，满分</w:t>
            </w:r>
            <w:r>
              <w:rPr>
                <w:rFonts w:hint="eastAsia" w:cs="Times New Roman"/>
                <w:color w:val="000000"/>
                <w:kern w:val="2"/>
                <w:sz w:val="24"/>
                <w:szCs w:val="22"/>
                <w:lang w:val="en-US" w:eastAsia="zh-CN"/>
              </w:rPr>
              <w:t>6</w:t>
            </w:r>
            <w:r>
              <w:rPr>
                <w:rFonts w:hint="eastAsia" w:cs="Times New Roman"/>
                <w:color w:val="000000"/>
                <w:kern w:val="2"/>
                <w:sz w:val="24"/>
                <w:szCs w:val="22"/>
              </w:rPr>
              <w:t>分。</w:t>
            </w:r>
          </w:p>
          <w:p w14:paraId="1A68CDA9">
            <w:pPr>
              <w:autoSpaceDE w:val="0"/>
              <w:autoSpaceDN w:val="0"/>
              <w:adjustRightInd w:val="0"/>
              <w:spacing w:line="360" w:lineRule="auto"/>
              <w:jc w:val="left"/>
              <w:rPr>
                <w:rFonts w:hint="eastAsia" w:cs="Times New Roman"/>
                <w:b/>
                <w:bCs/>
                <w:color w:val="000000"/>
                <w:kern w:val="2"/>
                <w:sz w:val="24"/>
                <w:szCs w:val="22"/>
              </w:rPr>
            </w:pPr>
            <w:r>
              <w:rPr>
                <w:rFonts w:hint="eastAsia" w:cs="Times New Roman"/>
                <w:b/>
                <w:bCs/>
                <w:color w:val="000000"/>
                <w:kern w:val="2"/>
                <w:sz w:val="24"/>
                <w:szCs w:val="22"/>
              </w:rPr>
              <w:t>注：</w:t>
            </w:r>
          </w:p>
          <w:p w14:paraId="2CBC83A4">
            <w:pPr>
              <w:autoSpaceDE w:val="0"/>
              <w:autoSpaceDN w:val="0"/>
              <w:adjustRightInd w:val="0"/>
              <w:spacing w:line="360" w:lineRule="auto"/>
              <w:jc w:val="left"/>
              <w:rPr>
                <w:rFonts w:hint="eastAsia" w:cs="Times New Roman"/>
                <w:b/>
                <w:bCs/>
                <w:color w:val="000000"/>
                <w:kern w:val="2"/>
                <w:sz w:val="24"/>
                <w:szCs w:val="22"/>
              </w:rPr>
            </w:pPr>
            <w:r>
              <w:rPr>
                <w:rFonts w:hint="eastAsia" w:cs="Times New Roman"/>
                <w:b/>
                <w:bCs/>
                <w:color w:val="000000"/>
                <w:kern w:val="2"/>
                <w:sz w:val="24"/>
                <w:szCs w:val="22"/>
                <w:lang w:val="en-US" w:eastAsia="zh-CN"/>
              </w:rPr>
              <w:t>1</w:t>
            </w:r>
            <w:r>
              <w:rPr>
                <w:rFonts w:hint="eastAsia" w:cs="Times New Roman"/>
                <w:b/>
                <w:bCs/>
                <w:color w:val="000000"/>
                <w:kern w:val="2"/>
                <w:sz w:val="24"/>
                <w:szCs w:val="22"/>
              </w:rPr>
              <w:t xml:space="preserve">、响应文件须同时提供以下证明材料：    </w:t>
            </w:r>
          </w:p>
          <w:p w14:paraId="6E3C937D">
            <w:pPr>
              <w:autoSpaceDE w:val="0"/>
              <w:autoSpaceDN w:val="0"/>
              <w:adjustRightInd w:val="0"/>
              <w:spacing w:line="360" w:lineRule="auto"/>
              <w:jc w:val="left"/>
              <w:rPr>
                <w:rFonts w:hint="eastAsia" w:cs="Times New Roman"/>
                <w:b/>
                <w:bCs/>
                <w:color w:val="000000"/>
                <w:kern w:val="2"/>
                <w:sz w:val="24"/>
                <w:szCs w:val="22"/>
              </w:rPr>
            </w:pPr>
            <w:r>
              <w:rPr>
                <w:rFonts w:hint="eastAsia" w:cs="Times New Roman"/>
                <w:b/>
                <w:bCs/>
                <w:color w:val="000000"/>
                <w:kern w:val="2"/>
                <w:sz w:val="24"/>
                <w:szCs w:val="22"/>
              </w:rPr>
              <w:t xml:space="preserve">（1）合同；    </w:t>
            </w:r>
          </w:p>
          <w:p w14:paraId="44701FDE">
            <w:pPr>
              <w:autoSpaceDE w:val="0"/>
              <w:autoSpaceDN w:val="0"/>
              <w:adjustRightInd w:val="0"/>
              <w:spacing w:line="360" w:lineRule="auto"/>
              <w:jc w:val="left"/>
              <w:rPr>
                <w:rFonts w:hint="eastAsia" w:cs="Times New Roman"/>
                <w:b/>
                <w:bCs/>
                <w:color w:val="000000"/>
                <w:kern w:val="2"/>
                <w:sz w:val="24"/>
                <w:szCs w:val="22"/>
              </w:rPr>
            </w:pPr>
            <w:r>
              <w:rPr>
                <w:rFonts w:hint="eastAsia" w:cs="Times New Roman"/>
                <w:b/>
                <w:bCs/>
                <w:color w:val="000000"/>
                <w:kern w:val="2"/>
                <w:sz w:val="24"/>
                <w:szCs w:val="22"/>
              </w:rPr>
              <w:t xml:space="preserve">（2）竣工验收证明文件。    </w:t>
            </w:r>
          </w:p>
          <w:p w14:paraId="5DEBBA8C">
            <w:pPr>
              <w:autoSpaceDE w:val="0"/>
              <w:autoSpaceDN w:val="0"/>
              <w:adjustRightInd w:val="0"/>
              <w:spacing w:line="360" w:lineRule="auto"/>
              <w:jc w:val="left"/>
              <w:rPr>
                <w:rFonts w:hint="default" w:eastAsia="@微软简标宋" w:cs="Times New Roman"/>
                <w:kern w:val="2"/>
                <w:sz w:val="24"/>
                <w:szCs w:val="22"/>
                <w:highlight w:val="none"/>
                <w:lang w:val="en-US" w:eastAsia="zh-CN"/>
              </w:rPr>
            </w:pPr>
            <w:r>
              <w:rPr>
                <w:rFonts w:hint="eastAsia" w:cs="Times New Roman"/>
                <w:b/>
                <w:bCs/>
                <w:color w:val="000000"/>
                <w:kern w:val="2"/>
                <w:sz w:val="24"/>
                <w:szCs w:val="22"/>
                <w:lang w:val="en-US" w:eastAsia="zh-CN"/>
              </w:rPr>
              <w:t>2</w:t>
            </w:r>
            <w:r>
              <w:rPr>
                <w:rFonts w:hint="eastAsia" w:cs="Times New Roman"/>
                <w:b/>
                <w:bCs/>
                <w:color w:val="000000"/>
                <w:kern w:val="2"/>
                <w:sz w:val="24"/>
                <w:szCs w:val="22"/>
              </w:rPr>
              <w:t>、未提供或提供不全的不得分。（若合同</w:t>
            </w:r>
            <w:r>
              <w:rPr>
                <w:rFonts w:hint="eastAsia" w:cs="Times New Roman"/>
                <w:b/>
                <w:bCs/>
                <w:color w:val="000000"/>
                <w:kern w:val="2"/>
                <w:sz w:val="24"/>
                <w:szCs w:val="22"/>
                <w:lang w:val="en-US" w:eastAsia="zh-CN"/>
              </w:rPr>
              <w:t>或</w:t>
            </w:r>
            <w:r>
              <w:rPr>
                <w:rFonts w:hint="eastAsia" w:cs="Times New Roman"/>
                <w:b/>
                <w:bCs/>
                <w:color w:val="000000"/>
                <w:kern w:val="2"/>
                <w:sz w:val="24"/>
                <w:szCs w:val="22"/>
              </w:rPr>
              <w:t>竣工验收证明文件未能体现工程内容等关键评审因素，须出具业主（合同甲方）证明材料）。</w:t>
            </w:r>
          </w:p>
        </w:tc>
        <w:tc>
          <w:tcPr>
            <w:tcW w:w="791" w:type="pct"/>
            <w:tcBorders>
              <w:top w:val="single" w:color="auto" w:sz="4" w:space="0"/>
              <w:left w:val="nil"/>
              <w:bottom w:val="single" w:color="auto" w:sz="4" w:space="0"/>
              <w:right w:val="single" w:color="auto" w:sz="4" w:space="0"/>
            </w:tcBorders>
            <w:vAlign w:val="center"/>
          </w:tcPr>
          <w:p w14:paraId="591744E2">
            <w:pPr>
              <w:autoSpaceDE w:val="0"/>
              <w:autoSpaceDN w:val="0"/>
              <w:adjustRightInd w:val="0"/>
              <w:spacing w:line="360" w:lineRule="auto"/>
              <w:jc w:val="center"/>
              <w:rPr>
                <w:rFonts w:cs="Times New Roman"/>
                <w:b/>
                <w:bCs/>
                <w:kern w:val="2"/>
                <w:sz w:val="24"/>
                <w:szCs w:val="24"/>
                <w:highlight w:val="none"/>
              </w:rPr>
            </w:pPr>
            <w:r>
              <w:rPr>
                <w:rFonts w:hint="eastAsia" w:cs="Times New Roman"/>
                <w:b/>
                <w:bCs/>
                <w:kern w:val="2"/>
                <w:sz w:val="24"/>
                <w:szCs w:val="22"/>
                <w:highlight w:val="none"/>
              </w:rPr>
              <w:t>0-</w:t>
            </w:r>
            <w:r>
              <w:rPr>
                <w:rFonts w:hint="eastAsia" w:cs="Times New Roman"/>
                <w:b/>
                <w:bCs/>
                <w:kern w:val="2"/>
                <w:sz w:val="24"/>
                <w:szCs w:val="22"/>
                <w:highlight w:val="none"/>
                <w:lang w:val="en-US" w:eastAsia="zh-CN"/>
              </w:rPr>
              <w:t>6</w:t>
            </w:r>
            <w:r>
              <w:rPr>
                <w:rFonts w:hint="eastAsia" w:cs="Times New Roman"/>
                <w:b/>
                <w:bCs/>
                <w:kern w:val="2"/>
                <w:sz w:val="24"/>
                <w:szCs w:val="22"/>
                <w:highlight w:val="none"/>
              </w:rPr>
              <w:t>分</w:t>
            </w:r>
          </w:p>
        </w:tc>
      </w:tr>
      <w:tr w14:paraId="4F9E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Borders>
              <w:left w:val="single" w:color="auto" w:sz="4" w:space="0"/>
              <w:right w:val="single" w:color="auto" w:sz="4" w:space="0"/>
            </w:tcBorders>
            <w:vAlign w:val="center"/>
          </w:tcPr>
          <w:p w14:paraId="0A894245">
            <w:pPr>
              <w:widowControl/>
              <w:autoSpaceDE w:val="0"/>
              <w:autoSpaceDN w:val="0"/>
              <w:adjustRightInd w:val="0"/>
              <w:jc w:val="left"/>
              <w:rPr>
                <w:rFonts w:cs="Times New Roman"/>
                <w:b/>
                <w:bCs/>
                <w:kern w:val="2"/>
                <w:sz w:val="24"/>
                <w:szCs w:val="24"/>
                <w:highlight w:val="none"/>
              </w:rPr>
            </w:pPr>
          </w:p>
        </w:tc>
        <w:tc>
          <w:tcPr>
            <w:tcW w:w="717" w:type="pct"/>
            <w:tcBorders>
              <w:top w:val="single" w:color="auto" w:sz="4" w:space="0"/>
              <w:left w:val="nil"/>
              <w:bottom w:val="single" w:color="auto" w:sz="4" w:space="0"/>
              <w:right w:val="single" w:color="auto" w:sz="4" w:space="0"/>
            </w:tcBorders>
            <w:vAlign w:val="center"/>
          </w:tcPr>
          <w:p w14:paraId="6CE1C73E">
            <w:pPr>
              <w:autoSpaceDE w:val="0"/>
              <w:autoSpaceDN w:val="0"/>
              <w:adjustRightInd w:val="0"/>
              <w:spacing w:line="360" w:lineRule="auto"/>
              <w:jc w:val="center"/>
              <w:rPr>
                <w:rFonts w:cs="Times New Roman"/>
                <w:color w:val="000000"/>
                <w:kern w:val="2"/>
                <w:sz w:val="24"/>
                <w:szCs w:val="24"/>
                <w:highlight w:val="none"/>
              </w:rPr>
            </w:pPr>
            <w:r>
              <w:rPr>
                <w:rFonts w:hint="eastAsia" w:cs="Times New Roman"/>
                <w:color w:val="000000"/>
                <w:kern w:val="2"/>
                <w:sz w:val="24"/>
                <w:szCs w:val="22"/>
                <w:highlight w:val="none"/>
              </w:rPr>
              <w:t>项目经理业绩</w:t>
            </w:r>
          </w:p>
        </w:tc>
        <w:tc>
          <w:tcPr>
            <w:tcW w:w="2802" w:type="pct"/>
            <w:tcBorders>
              <w:top w:val="single" w:color="auto" w:sz="4" w:space="0"/>
              <w:left w:val="nil"/>
              <w:bottom w:val="single" w:color="auto" w:sz="4" w:space="0"/>
              <w:right w:val="single" w:color="auto" w:sz="4" w:space="0"/>
            </w:tcBorders>
            <w:vAlign w:val="center"/>
          </w:tcPr>
          <w:p w14:paraId="71FC0BE1">
            <w:pPr>
              <w:autoSpaceDE w:val="0"/>
              <w:autoSpaceDN w:val="0"/>
              <w:adjustRightInd w:val="0"/>
              <w:spacing w:line="360" w:lineRule="auto"/>
              <w:jc w:val="left"/>
              <w:rPr>
                <w:rFonts w:cs="Times New Roman"/>
                <w:color w:val="000000"/>
                <w:kern w:val="0"/>
                <w:sz w:val="24"/>
                <w:szCs w:val="24"/>
              </w:rPr>
            </w:pPr>
            <w:r>
              <w:rPr>
                <w:rFonts w:hint="eastAsia" w:cs="Times New Roman"/>
                <w:color w:val="000000"/>
                <w:kern w:val="2"/>
                <w:sz w:val="24"/>
                <w:szCs w:val="22"/>
              </w:rPr>
              <w:t>自202</w:t>
            </w:r>
            <w:r>
              <w:rPr>
                <w:rFonts w:hint="eastAsia" w:cs="Times New Roman"/>
                <w:color w:val="000000"/>
                <w:kern w:val="2"/>
                <w:sz w:val="24"/>
                <w:szCs w:val="22"/>
                <w:lang w:val="en-US" w:eastAsia="zh-CN"/>
              </w:rPr>
              <w:t>2</w:t>
            </w:r>
            <w:r>
              <w:rPr>
                <w:rFonts w:hint="eastAsia" w:cs="Times New Roman"/>
                <w:color w:val="000000"/>
                <w:kern w:val="2"/>
                <w:sz w:val="24"/>
                <w:szCs w:val="22"/>
              </w:rPr>
              <w:t>年1月1日以来（以竣工验收日期为准），供应商拟委任项目经理在中华人民共和国境内具有</w:t>
            </w:r>
            <w:r>
              <w:rPr>
                <w:rFonts w:hint="eastAsia" w:cs="Times New Roman" w:asciiTheme="minorEastAsia" w:hAnsiTheme="minorEastAsia" w:eastAsiaTheme="minorEastAsia"/>
                <w:bCs/>
                <w:kern w:val="2"/>
                <w:sz w:val="24"/>
                <w:szCs w:val="22"/>
                <w:highlight w:val="none"/>
              </w:rPr>
              <w:t>建筑</w:t>
            </w:r>
            <w:r>
              <w:rPr>
                <w:rFonts w:hint="eastAsia" w:cs="Times New Roman"/>
                <w:bCs/>
                <w:kern w:val="2"/>
                <w:sz w:val="24"/>
                <w:szCs w:val="22"/>
              </w:rPr>
              <w:t>工程</w:t>
            </w:r>
            <w:r>
              <w:rPr>
                <w:rFonts w:hint="eastAsia" w:cs="Times New Roman"/>
                <w:bCs/>
                <w:kern w:val="2"/>
                <w:sz w:val="24"/>
                <w:szCs w:val="22"/>
                <w:lang w:eastAsia="zh-CN"/>
              </w:rPr>
              <w:t>（</w:t>
            </w:r>
            <w:r>
              <w:rPr>
                <w:rFonts w:hint="eastAsia" w:cs="Times New Roman"/>
                <w:bCs/>
                <w:kern w:val="2"/>
                <w:sz w:val="24"/>
                <w:szCs w:val="22"/>
                <w:lang w:val="en-US" w:eastAsia="zh-CN"/>
              </w:rPr>
              <w:t>或建筑维修或建筑改造</w:t>
            </w:r>
            <w:r>
              <w:rPr>
                <w:rFonts w:hint="eastAsia" w:cs="Times New Roman"/>
                <w:bCs/>
                <w:kern w:val="2"/>
                <w:sz w:val="24"/>
                <w:szCs w:val="22"/>
                <w:lang w:eastAsia="zh-CN"/>
              </w:rPr>
              <w:t>）</w:t>
            </w:r>
            <w:r>
              <w:rPr>
                <w:rFonts w:hint="eastAsia" w:cs="Times New Roman" w:asciiTheme="minorEastAsia" w:hAnsiTheme="minorEastAsia" w:eastAsiaTheme="minorEastAsia"/>
                <w:bCs/>
                <w:kern w:val="2"/>
                <w:sz w:val="24"/>
                <w:szCs w:val="22"/>
              </w:rPr>
              <w:t>施工业绩的</w:t>
            </w:r>
            <w:r>
              <w:rPr>
                <w:rFonts w:hint="eastAsia" w:cs="Times New Roman"/>
                <w:color w:val="000000"/>
                <w:kern w:val="2"/>
                <w:sz w:val="24"/>
                <w:szCs w:val="22"/>
              </w:rPr>
              <w:t>，每提供1个得</w:t>
            </w:r>
            <w:r>
              <w:rPr>
                <w:rFonts w:hint="eastAsia" w:cs="Times New Roman"/>
                <w:color w:val="000000"/>
                <w:kern w:val="2"/>
                <w:sz w:val="24"/>
                <w:szCs w:val="22"/>
                <w:lang w:val="en-US" w:eastAsia="zh-CN"/>
              </w:rPr>
              <w:t>3</w:t>
            </w:r>
            <w:r>
              <w:rPr>
                <w:rFonts w:hint="eastAsia" w:cs="Times New Roman"/>
                <w:color w:val="000000"/>
                <w:kern w:val="2"/>
                <w:sz w:val="24"/>
                <w:szCs w:val="22"/>
              </w:rPr>
              <w:t>分，满分</w:t>
            </w:r>
            <w:r>
              <w:rPr>
                <w:rFonts w:hint="eastAsia" w:cs="Times New Roman"/>
                <w:color w:val="000000"/>
                <w:kern w:val="2"/>
                <w:sz w:val="24"/>
                <w:szCs w:val="22"/>
                <w:lang w:val="en-US" w:eastAsia="zh-CN"/>
              </w:rPr>
              <w:t>6</w:t>
            </w:r>
            <w:r>
              <w:rPr>
                <w:rFonts w:hint="eastAsia" w:cs="Times New Roman"/>
                <w:color w:val="000000"/>
                <w:kern w:val="2"/>
                <w:sz w:val="24"/>
                <w:szCs w:val="22"/>
              </w:rPr>
              <w:t>分。</w:t>
            </w:r>
          </w:p>
          <w:p w14:paraId="298A2F6D">
            <w:pPr>
              <w:autoSpaceDE w:val="0"/>
              <w:autoSpaceDN w:val="0"/>
              <w:adjustRightInd w:val="0"/>
              <w:spacing w:line="360" w:lineRule="auto"/>
              <w:jc w:val="left"/>
              <w:rPr>
                <w:rFonts w:hint="eastAsia" w:cs="Times New Roman"/>
                <w:b/>
                <w:bCs/>
                <w:color w:val="000000"/>
                <w:kern w:val="2"/>
                <w:sz w:val="24"/>
                <w:szCs w:val="22"/>
              </w:rPr>
            </w:pPr>
            <w:r>
              <w:rPr>
                <w:rFonts w:hint="eastAsia" w:cs="Times New Roman"/>
                <w:b/>
                <w:bCs/>
                <w:color w:val="000000"/>
                <w:kern w:val="2"/>
                <w:sz w:val="24"/>
                <w:szCs w:val="22"/>
              </w:rPr>
              <w:t>注：</w:t>
            </w:r>
          </w:p>
          <w:p w14:paraId="67348CA9">
            <w:pPr>
              <w:autoSpaceDE w:val="0"/>
              <w:autoSpaceDN w:val="0"/>
              <w:adjustRightInd w:val="0"/>
              <w:spacing w:line="360" w:lineRule="auto"/>
              <w:jc w:val="left"/>
              <w:rPr>
                <w:rFonts w:cs="Times New Roman"/>
                <w:b/>
                <w:bCs/>
                <w:color w:val="000000"/>
                <w:kern w:val="2"/>
                <w:sz w:val="24"/>
                <w:szCs w:val="22"/>
              </w:rPr>
            </w:pPr>
            <w:r>
              <w:rPr>
                <w:rFonts w:hint="eastAsia" w:cs="Times New Roman"/>
                <w:b/>
                <w:bCs/>
                <w:color w:val="000000"/>
                <w:kern w:val="2"/>
                <w:sz w:val="24"/>
                <w:szCs w:val="22"/>
                <w:lang w:val="en-US" w:eastAsia="zh-CN"/>
              </w:rPr>
              <w:t>1</w:t>
            </w:r>
            <w:r>
              <w:rPr>
                <w:rFonts w:hint="eastAsia" w:cs="Times New Roman"/>
                <w:b/>
                <w:bCs/>
                <w:color w:val="000000"/>
                <w:kern w:val="2"/>
                <w:sz w:val="24"/>
                <w:szCs w:val="22"/>
              </w:rPr>
              <w:t xml:space="preserve">、响应文件须同时提供以下证明材料：     </w:t>
            </w:r>
          </w:p>
          <w:p w14:paraId="7B708321">
            <w:pPr>
              <w:autoSpaceDE w:val="0"/>
              <w:autoSpaceDN w:val="0"/>
              <w:adjustRightInd w:val="0"/>
              <w:spacing w:line="360" w:lineRule="auto"/>
              <w:jc w:val="left"/>
              <w:rPr>
                <w:rFonts w:cs="Times New Roman"/>
                <w:b/>
                <w:bCs/>
                <w:color w:val="000000"/>
                <w:kern w:val="2"/>
                <w:sz w:val="24"/>
                <w:szCs w:val="22"/>
              </w:rPr>
            </w:pPr>
            <w:r>
              <w:rPr>
                <w:rFonts w:hint="eastAsia" w:cs="Times New Roman"/>
                <w:b/>
                <w:bCs/>
                <w:color w:val="000000"/>
                <w:kern w:val="2"/>
                <w:sz w:val="24"/>
                <w:szCs w:val="22"/>
              </w:rPr>
              <w:t xml:space="preserve">（1）合同；    </w:t>
            </w:r>
          </w:p>
          <w:p w14:paraId="25ADF773">
            <w:pPr>
              <w:autoSpaceDE w:val="0"/>
              <w:autoSpaceDN w:val="0"/>
              <w:adjustRightInd w:val="0"/>
              <w:spacing w:line="360" w:lineRule="auto"/>
              <w:jc w:val="left"/>
              <w:rPr>
                <w:rFonts w:cs="Times New Roman"/>
                <w:b/>
                <w:bCs/>
                <w:color w:val="000000"/>
                <w:kern w:val="2"/>
                <w:sz w:val="24"/>
                <w:szCs w:val="22"/>
              </w:rPr>
            </w:pPr>
            <w:r>
              <w:rPr>
                <w:rFonts w:hint="eastAsia" w:cs="Times New Roman"/>
                <w:b/>
                <w:bCs/>
                <w:color w:val="000000"/>
                <w:kern w:val="2"/>
                <w:sz w:val="24"/>
                <w:szCs w:val="22"/>
              </w:rPr>
              <w:t xml:space="preserve">（2）竣工验收证明文件。    </w:t>
            </w:r>
          </w:p>
          <w:p w14:paraId="33ECDB00">
            <w:pPr>
              <w:autoSpaceDE w:val="0"/>
              <w:autoSpaceDN w:val="0"/>
              <w:adjustRightInd w:val="0"/>
              <w:spacing w:line="360" w:lineRule="auto"/>
              <w:jc w:val="left"/>
              <w:rPr>
                <w:rFonts w:cs="Times New Roman"/>
                <w:b/>
                <w:bCs/>
                <w:color w:val="000000"/>
                <w:kern w:val="2"/>
                <w:sz w:val="24"/>
                <w:szCs w:val="22"/>
              </w:rPr>
            </w:pPr>
            <w:r>
              <w:rPr>
                <w:rFonts w:hint="eastAsia" w:cs="Times New Roman"/>
                <w:b/>
                <w:bCs/>
                <w:color w:val="000000"/>
                <w:kern w:val="2"/>
                <w:sz w:val="24"/>
                <w:szCs w:val="22"/>
                <w:lang w:val="en-US" w:eastAsia="zh-CN"/>
              </w:rPr>
              <w:t>2</w:t>
            </w:r>
            <w:r>
              <w:rPr>
                <w:rFonts w:hint="eastAsia" w:cs="Times New Roman"/>
                <w:b/>
                <w:bCs/>
                <w:color w:val="000000"/>
                <w:kern w:val="2"/>
                <w:sz w:val="24"/>
                <w:szCs w:val="22"/>
              </w:rPr>
              <w:t>、未提供或提供不全的不得分。（若合同</w:t>
            </w:r>
            <w:r>
              <w:rPr>
                <w:rFonts w:hint="eastAsia" w:cs="Times New Roman"/>
                <w:b/>
                <w:bCs/>
                <w:color w:val="000000"/>
                <w:kern w:val="2"/>
                <w:sz w:val="24"/>
                <w:szCs w:val="22"/>
                <w:lang w:val="en-US" w:eastAsia="zh-CN"/>
              </w:rPr>
              <w:t>或</w:t>
            </w:r>
            <w:r>
              <w:rPr>
                <w:rFonts w:hint="eastAsia" w:cs="Times New Roman"/>
                <w:b/>
                <w:bCs/>
                <w:color w:val="000000"/>
                <w:kern w:val="2"/>
                <w:sz w:val="24"/>
                <w:szCs w:val="22"/>
              </w:rPr>
              <w:t xml:space="preserve">竣工验收证明文件未能体现工程内容等关键评审因素，须出具业主（合同甲方）证明材料）。  </w:t>
            </w:r>
          </w:p>
          <w:p w14:paraId="6760DDA7">
            <w:pPr>
              <w:autoSpaceDE w:val="0"/>
              <w:autoSpaceDN w:val="0"/>
              <w:adjustRightInd w:val="0"/>
              <w:spacing w:line="360" w:lineRule="auto"/>
              <w:jc w:val="left"/>
              <w:rPr>
                <w:rFonts w:cs="Times New Roman"/>
                <w:b/>
                <w:bCs/>
                <w:color w:val="000000"/>
                <w:kern w:val="2"/>
                <w:sz w:val="24"/>
                <w:szCs w:val="22"/>
              </w:rPr>
            </w:pPr>
            <w:r>
              <w:rPr>
                <w:rFonts w:hint="eastAsia" w:cs="Times New Roman"/>
                <w:b/>
                <w:bCs/>
                <w:color w:val="000000"/>
                <w:kern w:val="2"/>
                <w:sz w:val="24"/>
                <w:szCs w:val="22"/>
                <w:lang w:val="en-US" w:eastAsia="zh-CN"/>
              </w:rPr>
              <w:t>3</w:t>
            </w:r>
            <w:r>
              <w:rPr>
                <w:rFonts w:hint="eastAsia" w:cs="Times New Roman"/>
                <w:b/>
                <w:bCs/>
                <w:color w:val="000000"/>
                <w:kern w:val="2"/>
                <w:sz w:val="24"/>
                <w:szCs w:val="22"/>
              </w:rPr>
              <w:t>、项目经理业绩是指供应商提供的业绩证明资料中能反映出本项目拟委任项目经理在此业绩中担任过项目经理岗位的业绩。</w:t>
            </w:r>
          </w:p>
          <w:p w14:paraId="5222718B">
            <w:pPr>
              <w:autoSpaceDE w:val="0"/>
              <w:autoSpaceDN w:val="0"/>
              <w:adjustRightInd w:val="0"/>
              <w:spacing w:line="360" w:lineRule="auto"/>
              <w:jc w:val="left"/>
              <w:rPr>
                <w:rFonts w:cs="Times New Roman"/>
                <w:color w:val="000000"/>
                <w:kern w:val="2"/>
                <w:sz w:val="24"/>
                <w:szCs w:val="24"/>
                <w:highlight w:val="none"/>
              </w:rPr>
            </w:pPr>
            <w:r>
              <w:rPr>
                <w:rFonts w:hint="eastAsia" w:cs="Times New Roman"/>
                <w:b/>
                <w:bCs/>
                <w:color w:val="000000"/>
                <w:kern w:val="2"/>
                <w:sz w:val="24"/>
                <w:szCs w:val="22"/>
                <w:lang w:val="en-US" w:eastAsia="zh-CN"/>
              </w:rPr>
              <w:t>4</w:t>
            </w:r>
            <w:r>
              <w:rPr>
                <w:rFonts w:hint="eastAsia" w:cs="Times New Roman"/>
                <w:b/>
                <w:bCs/>
                <w:color w:val="000000"/>
                <w:kern w:val="2"/>
                <w:sz w:val="24"/>
                <w:szCs w:val="22"/>
              </w:rPr>
              <w:t>、</w:t>
            </w:r>
            <w:r>
              <w:rPr>
                <w:rFonts w:hint="eastAsia" w:ascii="宋体" w:hAnsi="宋体" w:eastAsia="宋体" w:cs="Times New Roman"/>
                <w:b/>
                <w:bCs/>
                <w:kern w:val="2"/>
                <w:sz w:val="24"/>
                <w:szCs w:val="22"/>
                <w:highlight w:val="none"/>
                <w:lang w:val="en-US" w:eastAsia="zh-CN"/>
              </w:rPr>
              <w:t>项目经理业绩</w:t>
            </w:r>
            <w:r>
              <w:rPr>
                <w:rFonts w:hint="eastAsia" w:ascii="宋体" w:hAnsi="宋体" w:eastAsia="宋体" w:cs="Times New Roman"/>
                <w:b/>
                <w:bCs/>
                <w:kern w:val="2"/>
                <w:sz w:val="24"/>
                <w:szCs w:val="22"/>
                <w:highlight w:val="none"/>
              </w:rPr>
              <w:t>与</w:t>
            </w:r>
            <w:r>
              <w:rPr>
                <w:rFonts w:hint="eastAsia" w:ascii="宋体" w:hAnsi="宋体" w:eastAsia="宋体" w:cs="Times New Roman"/>
                <w:b/>
                <w:bCs/>
                <w:kern w:val="2"/>
                <w:sz w:val="24"/>
                <w:szCs w:val="22"/>
                <w:highlight w:val="none"/>
                <w:lang w:eastAsia="zh-CN"/>
              </w:rPr>
              <w:t>供应商</w:t>
            </w:r>
            <w:r>
              <w:rPr>
                <w:rFonts w:hint="eastAsia" w:ascii="宋体" w:hAnsi="宋体" w:eastAsia="宋体" w:cs="Times New Roman"/>
                <w:b/>
                <w:bCs/>
                <w:kern w:val="2"/>
                <w:sz w:val="24"/>
                <w:szCs w:val="22"/>
                <w:highlight w:val="none"/>
              </w:rPr>
              <w:t>业绩如为同一业绩</w:t>
            </w:r>
            <w:r>
              <w:rPr>
                <w:rFonts w:hint="eastAsia" w:ascii="宋体" w:hAnsi="宋体" w:eastAsia="宋体" w:cs="Times New Roman"/>
                <w:b/>
                <w:bCs/>
                <w:kern w:val="2"/>
                <w:sz w:val="24"/>
                <w:szCs w:val="22"/>
                <w:highlight w:val="none"/>
                <w:lang w:eastAsia="zh-CN"/>
              </w:rPr>
              <w:t>，</w:t>
            </w:r>
            <w:r>
              <w:rPr>
                <w:rFonts w:hint="eastAsia" w:cs="Times New Roman"/>
                <w:b/>
                <w:bCs/>
                <w:kern w:val="2"/>
                <w:sz w:val="24"/>
                <w:szCs w:val="22"/>
                <w:highlight w:val="none"/>
                <w:lang w:val="en-US" w:eastAsia="zh-CN"/>
              </w:rPr>
              <w:t>不</w:t>
            </w:r>
            <w:r>
              <w:rPr>
                <w:rFonts w:hint="eastAsia" w:ascii="宋体" w:hAnsi="宋体" w:eastAsia="宋体" w:cs="Times New Roman"/>
                <w:b/>
                <w:bCs/>
                <w:kern w:val="2"/>
                <w:sz w:val="24"/>
                <w:szCs w:val="22"/>
                <w:highlight w:val="none"/>
                <w:lang w:val="en-US" w:eastAsia="zh-CN"/>
              </w:rPr>
              <w:t>可以</w:t>
            </w:r>
            <w:r>
              <w:rPr>
                <w:rFonts w:hint="eastAsia" w:ascii="宋体" w:hAnsi="宋体" w:eastAsia="宋体" w:cs="Times New Roman"/>
                <w:b/>
                <w:bCs/>
                <w:kern w:val="2"/>
                <w:sz w:val="24"/>
                <w:szCs w:val="22"/>
                <w:highlight w:val="none"/>
              </w:rPr>
              <w:t>重复</w:t>
            </w:r>
            <w:r>
              <w:rPr>
                <w:rFonts w:hint="eastAsia" w:ascii="宋体" w:hAnsi="宋体" w:eastAsia="宋体" w:cs="Times New Roman"/>
                <w:b/>
                <w:bCs/>
                <w:kern w:val="2"/>
                <w:sz w:val="24"/>
                <w:szCs w:val="22"/>
                <w:highlight w:val="none"/>
                <w:lang w:val="en-US" w:eastAsia="zh-CN"/>
              </w:rPr>
              <w:t>计</w:t>
            </w:r>
            <w:r>
              <w:rPr>
                <w:rFonts w:hint="eastAsia" w:ascii="宋体" w:hAnsi="宋体" w:eastAsia="宋体" w:cs="Times New Roman"/>
                <w:b/>
                <w:bCs/>
                <w:kern w:val="2"/>
                <w:sz w:val="24"/>
                <w:szCs w:val="22"/>
                <w:highlight w:val="none"/>
              </w:rPr>
              <w:t>分</w:t>
            </w:r>
            <w:r>
              <w:rPr>
                <w:rFonts w:hint="eastAsia" w:cs="Times New Roman"/>
                <w:b/>
                <w:bCs/>
                <w:color w:val="000000"/>
                <w:kern w:val="2"/>
                <w:sz w:val="24"/>
                <w:szCs w:val="22"/>
              </w:rPr>
              <w:t>。</w:t>
            </w:r>
          </w:p>
        </w:tc>
        <w:tc>
          <w:tcPr>
            <w:tcW w:w="791" w:type="pct"/>
            <w:tcBorders>
              <w:top w:val="single" w:color="auto" w:sz="4" w:space="0"/>
              <w:left w:val="nil"/>
              <w:bottom w:val="single" w:color="auto" w:sz="4" w:space="0"/>
              <w:right w:val="single" w:color="auto" w:sz="4" w:space="0"/>
            </w:tcBorders>
            <w:vAlign w:val="center"/>
          </w:tcPr>
          <w:p w14:paraId="1C17C04F">
            <w:pPr>
              <w:autoSpaceDE w:val="0"/>
              <w:autoSpaceDN w:val="0"/>
              <w:adjustRightInd w:val="0"/>
              <w:spacing w:line="360" w:lineRule="auto"/>
              <w:jc w:val="center"/>
              <w:rPr>
                <w:rFonts w:cs="Times New Roman"/>
                <w:b/>
                <w:bCs/>
                <w:kern w:val="2"/>
                <w:sz w:val="24"/>
                <w:szCs w:val="24"/>
                <w:highlight w:val="none"/>
              </w:rPr>
            </w:pPr>
            <w:r>
              <w:rPr>
                <w:rFonts w:hint="eastAsia" w:cs="Times New Roman"/>
                <w:b/>
                <w:bCs/>
                <w:kern w:val="2"/>
                <w:sz w:val="24"/>
                <w:szCs w:val="22"/>
                <w:highlight w:val="none"/>
              </w:rPr>
              <w:t>0-</w:t>
            </w:r>
            <w:r>
              <w:rPr>
                <w:rFonts w:hint="eastAsia" w:cs="Times New Roman"/>
                <w:b/>
                <w:bCs/>
                <w:kern w:val="2"/>
                <w:sz w:val="24"/>
                <w:szCs w:val="22"/>
                <w:highlight w:val="none"/>
                <w:lang w:val="en-US" w:eastAsia="zh-CN"/>
              </w:rPr>
              <w:t>6</w:t>
            </w:r>
            <w:r>
              <w:rPr>
                <w:rFonts w:hint="eastAsia" w:cs="Times New Roman"/>
                <w:b/>
                <w:bCs/>
                <w:kern w:val="2"/>
                <w:sz w:val="24"/>
                <w:szCs w:val="22"/>
                <w:highlight w:val="none"/>
              </w:rPr>
              <w:t>分</w:t>
            </w:r>
          </w:p>
        </w:tc>
      </w:tr>
      <w:tr w14:paraId="6C08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tcBorders>
              <w:top w:val="single" w:color="auto" w:sz="4" w:space="0"/>
              <w:left w:val="single" w:color="auto" w:sz="4" w:space="0"/>
              <w:bottom w:val="single" w:color="auto" w:sz="4" w:space="0"/>
              <w:right w:val="single" w:color="auto" w:sz="4" w:space="0"/>
            </w:tcBorders>
            <w:vAlign w:val="center"/>
          </w:tcPr>
          <w:p w14:paraId="42864640">
            <w:pPr>
              <w:autoSpaceDE w:val="0"/>
              <w:autoSpaceDN w:val="0"/>
              <w:adjustRightInd w:val="0"/>
              <w:spacing w:line="360" w:lineRule="auto"/>
              <w:jc w:val="center"/>
              <w:rPr>
                <w:rFonts w:cs="Times New Roman"/>
                <w:kern w:val="2"/>
                <w:sz w:val="24"/>
                <w:szCs w:val="24"/>
                <w:highlight w:val="none"/>
              </w:rPr>
            </w:pPr>
            <w:r>
              <w:rPr>
                <w:rFonts w:hint="eastAsia" w:cs="Times New Roman"/>
                <w:kern w:val="2"/>
                <w:sz w:val="24"/>
                <w:szCs w:val="22"/>
                <w:highlight w:val="none"/>
              </w:rPr>
              <w:t>价格分</w:t>
            </w:r>
          </w:p>
          <w:p w14:paraId="5168D0C0">
            <w:pPr>
              <w:autoSpaceDE w:val="0"/>
              <w:autoSpaceDN w:val="0"/>
              <w:adjustRightInd w:val="0"/>
              <w:spacing w:line="360" w:lineRule="auto"/>
              <w:jc w:val="center"/>
              <w:rPr>
                <w:rFonts w:cs="Times New Roman"/>
                <w:b/>
                <w:bCs/>
                <w:kern w:val="2"/>
                <w:sz w:val="24"/>
                <w:szCs w:val="24"/>
                <w:highlight w:val="none"/>
              </w:rPr>
            </w:pPr>
            <w:r>
              <w:rPr>
                <w:rFonts w:hint="eastAsia" w:cs="Times New Roman"/>
                <w:kern w:val="2"/>
                <w:sz w:val="24"/>
                <w:szCs w:val="22"/>
                <w:highlight w:val="none"/>
              </w:rPr>
              <w:t>（</w:t>
            </w:r>
            <w:r>
              <w:rPr>
                <w:rFonts w:hint="eastAsia" w:cs="Times New Roman"/>
                <w:kern w:val="2"/>
                <w:sz w:val="24"/>
                <w:szCs w:val="22"/>
                <w:highlight w:val="none"/>
                <w:lang w:val="en-US" w:eastAsia="zh-CN"/>
              </w:rPr>
              <w:t>30</w:t>
            </w:r>
            <w:r>
              <w:rPr>
                <w:rFonts w:hint="eastAsia" w:cs="Times New Roman"/>
                <w:kern w:val="2"/>
                <w:sz w:val="24"/>
                <w:szCs w:val="22"/>
                <w:highlight w:val="none"/>
              </w:rPr>
              <w:t>分）</w:t>
            </w:r>
          </w:p>
        </w:tc>
        <w:tc>
          <w:tcPr>
            <w:tcW w:w="4312" w:type="pct"/>
            <w:gridSpan w:val="3"/>
            <w:tcBorders>
              <w:top w:val="single" w:color="auto" w:sz="4" w:space="0"/>
              <w:left w:val="nil"/>
              <w:bottom w:val="single" w:color="auto" w:sz="4" w:space="0"/>
              <w:right w:val="single" w:color="auto" w:sz="4" w:space="0"/>
            </w:tcBorders>
            <w:vAlign w:val="center"/>
          </w:tcPr>
          <w:p w14:paraId="52BC0E00">
            <w:pPr>
              <w:autoSpaceDE/>
              <w:autoSpaceDN/>
              <w:adjustRightInd/>
              <w:spacing w:line="360" w:lineRule="auto"/>
              <w:jc w:val="both"/>
              <w:rPr>
                <w:rFonts w:asciiTheme="minorEastAsia" w:hAnsiTheme="minorEastAsia" w:eastAsiaTheme="minorEastAsia" w:cstheme="minorBidi"/>
                <w:kern w:val="0"/>
                <w:sz w:val="24"/>
                <w:szCs w:val="20"/>
                <w:highlight w:val="none"/>
              </w:rPr>
            </w:pPr>
            <w:r>
              <w:rPr>
                <w:rFonts w:hint="eastAsia" w:asciiTheme="minorEastAsia" w:hAnsiTheme="minorEastAsia" w:eastAsiaTheme="minorEastAsia" w:cstheme="minorBidi"/>
                <w:kern w:val="0"/>
                <w:sz w:val="24"/>
                <w:szCs w:val="20"/>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stheme="minorBidi"/>
                <w:kern w:val="0"/>
                <w:sz w:val="24"/>
                <w:szCs w:val="20"/>
                <w:highlight w:val="none"/>
                <w:lang w:val="en-US" w:eastAsia="zh-CN"/>
              </w:rPr>
              <w:t>30</w:t>
            </w:r>
            <w:r>
              <w:rPr>
                <w:rFonts w:hint="eastAsia" w:asciiTheme="minorEastAsia" w:hAnsiTheme="minorEastAsia" w:eastAsiaTheme="minorEastAsia" w:cstheme="minorBidi"/>
                <w:kern w:val="0"/>
                <w:sz w:val="24"/>
                <w:szCs w:val="20"/>
                <w:highlight w:val="none"/>
              </w:rPr>
              <w:t>分。其他供应商的价格分统一按照下列公式计算：</w:t>
            </w:r>
          </w:p>
          <w:p w14:paraId="45F5BCB9">
            <w:pPr>
              <w:autoSpaceDE w:val="0"/>
              <w:autoSpaceDN w:val="0"/>
              <w:adjustRightInd w:val="0"/>
              <w:spacing w:line="360" w:lineRule="auto"/>
              <w:jc w:val="left"/>
              <w:rPr>
                <w:rFonts w:cs="Times New Roman"/>
                <w:b/>
                <w:bCs/>
                <w:kern w:val="2"/>
                <w:sz w:val="24"/>
                <w:szCs w:val="24"/>
                <w:highlight w:val="none"/>
              </w:rPr>
            </w:pPr>
            <w:r>
              <w:rPr>
                <w:rFonts w:hint="eastAsia" w:asciiTheme="minorEastAsia" w:hAnsiTheme="minorEastAsia" w:eastAsiaTheme="minorEastAsia" w:cstheme="minorBidi"/>
                <w:kern w:val="0"/>
                <w:sz w:val="24"/>
                <w:szCs w:val="20"/>
                <w:highlight w:val="none"/>
              </w:rPr>
              <w:t>磋商报价得分＝（磋商基准价/</w:t>
            </w:r>
            <w:r>
              <w:rPr>
                <w:rFonts w:hint="eastAsia" w:cstheme="minorBidi"/>
                <w:kern w:val="0"/>
                <w:sz w:val="24"/>
                <w:szCs w:val="20"/>
                <w:highlight w:val="none"/>
              </w:rPr>
              <w:t>最后磋商</w:t>
            </w:r>
            <w:r>
              <w:rPr>
                <w:rFonts w:hint="eastAsia" w:asciiTheme="minorEastAsia" w:hAnsiTheme="minorEastAsia" w:eastAsiaTheme="minorEastAsia" w:cstheme="minorBidi"/>
                <w:kern w:val="0"/>
                <w:sz w:val="24"/>
                <w:szCs w:val="20"/>
                <w:highlight w:val="none"/>
              </w:rPr>
              <w:t>报价）×</w:t>
            </w:r>
            <w:r>
              <w:rPr>
                <w:rFonts w:hint="eastAsia" w:asciiTheme="minorEastAsia" w:hAnsiTheme="minorEastAsia" w:eastAsiaTheme="minorEastAsia" w:cstheme="minorBidi"/>
                <w:kern w:val="0"/>
                <w:sz w:val="24"/>
                <w:szCs w:val="20"/>
                <w:highlight w:val="none"/>
                <w:u w:val="single"/>
                <w:lang w:val="en-US" w:eastAsia="zh-CN"/>
              </w:rPr>
              <w:t>30</w:t>
            </w:r>
            <w:r>
              <w:rPr>
                <w:rFonts w:hint="eastAsia" w:asciiTheme="minorEastAsia" w:hAnsiTheme="minorEastAsia" w:eastAsiaTheme="minorEastAsia" w:cstheme="minorBidi"/>
                <w:kern w:val="0"/>
                <w:sz w:val="24"/>
                <w:szCs w:val="20"/>
                <w:highlight w:val="none"/>
              </w:rPr>
              <w:t>％×100</w:t>
            </w:r>
          </w:p>
        </w:tc>
      </w:tr>
    </w:tbl>
    <w:p w14:paraId="159963DC">
      <w:pPr>
        <w:jc w:val="left"/>
      </w:pPr>
    </w:p>
    <w:p w14:paraId="2AC79801">
      <w:pPr>
        <w:jc w:val="left"/>
      </w:pPr>
      <w:r>
        <w:rPr>
          <w:rFonts w:hint="eastAsia"/>
        </w:rPr>
        <w:t xml:space="preserve">审核人：                         </w:t>
      </w:r>
    </w:p>
    <w:p w14:paraId="1B46F0E7">
      <w:pPr>
        <w:jc w:val="left"/>
      </w:pPr>
    </w:p>
    <w:p w14:paraId="3CE2A4DA">
      <w:pPr>
        <w:pStyle w:val="2"/>
      </w:pPr>
    </w:p>
    <w:p w14:paraId="04C9F7B1">
      <w:pPr>
        <w:jc w:val="left"/>
      </w:pPr>
    </w:p>
    <w:p w14:paraId="22AA956D">
      <w:pPr>
        <w:jc w:val="right"/>
      </w:pPr>
      <w:r>
        <w:rPr>
          <w:rFonts w:hint="eastAsia"/>
        </w:rPr>
        <w:t xml:space="preserve">                   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22</w:t>
      </w:r>
      <w:bookmarkStart w:id="0" w:name="_GoBack"/>
      <w:bookmarkEnd w:id="0"/>
      <w:r>
        <w:rPr>
          <w:rFonts w:hint="eastAsia"/>
        </w:rPr>
        <w:t>日</w:t>
      </w:r>
    </w:p>
    <w:p w14:paraId="12817EDE">
      <w:pPr>
        <w:pStyle w:val="5"/>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embedRegular r:id="rId1" w:fontKey="{6FF0A6BF-BBC8-4D6D-9B66-9E8CBE411498}"/>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C9289"/>
    <w:multiLevelType w:val="singleLevel"/>
    <w:tmpl w:val="2D4C92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0YWI3MWMzOWYxMDBlMDkxOThiNjIwNDJhZGJiNDEifQ=="/>
  </w:docVars>
  <w:rsids>
    <w:rsidRoot w:val="FF7F1A57"/>
    <w:rsid w:val="00047F7E"/>
    <w:rsid w:val="000551FB"/>
    <w:rsid w:val="000B2C97"/>
    <w:rsid w:val="000C2598"/>
    <w:rsid w:val="000C6897"/>
    <w:rsid w:val="000F71BE"/>
    <w:rsid w:val="00103322"/>
    <w:rsid w:val="00131202"/>
    <w:rsid w:val="00144D82"/>
    <w:rsid w:val="00162AE3"/>
    <w:rsid w:val="00162DDA"/>
    <w:rsid w:val="0018275C"/>
    <w:rsid w:val="00184F2A"/>
    <w:rsid w:val="001A005A"/>
    <w:rsid w:val="001B3789"/>
    <w:rsid w:val="001C41F3"/>
    <w:rsid w:val="001C5000"/>
    <w:rsid w:val="001D5CB6"/>
    <w:rsid w:val="001E25CF"/>
    <w:rsid w:val="001F2751"/>
    <w:rsid w:val="001F35DB"/>
    <w:rsid w:val="00203746"/>
    <w:rsid w:val="00216961"/>
    <w:rsid w:val="00216A13"/>
    <w:rsid w:val="00217EF6"/>
    <w:rsid w:val="00221AB8"/>
    <w:rsid w:val="00232F05"/>
    <w:rsid w:val="002407E2"/>
    <w:rsid w:val="00241923"/>
    <w:rsid w:val="0026160A"/>
    <w:rsid w:val="002803EF"/>
    <w:rsid w:val="002A74FE"/>
    <w:rsid w:val="002C443E"/>
    <w:rsid w:val="002C68B4"/>
    <w:rsid w:val="002D75CC"/>
    <w:rsid w:val="002D79E6"/>
    <w:rsid w:val="002F0085"/>
    <w:rsid w:val="002F3468"/>
    <w:rsid w:val="002F3AAD"/>
    <w:rsid w:val="00303D4F"/>
    <w:rsid w:val="00316FF0"/>
    <w:rsid w:val="00333427"/>
    <w:rsid w:val="0033684D"/>
    <w:rsid w:val="00343D99"/>
    <w:rsid w:val="0035161F"/>
    <w:rsid w:val="00353DDA"/>
    <w:rsid w:val="00354D25"/>
    <w:rsid w:val="00360912"/>
    <w:rsid w:val="0037465F"/>
    <w:rsid w:val="003820A2"/>
    <w:rsid w:val="003A56FD"/>
    <w:rsid w:val="003B7F94"/>
    <w:rsid w:val="003D27E5"/>
    <w:rsid w:val="003E2084"/>
    <w:rsid w:val="0040351C"/>
    <w:rsid w:val="00410072"/>
    <w:rsid w:val="00410B07"/>
    <w:rsid w:val="00412699"/>
    <w:rsid w:val="00430E60"/>
    <w:rsid w:val="00454808"/>
    <w:rsid w:val="00455FCC"/>
    <w:rsid w:val="00456D12"/>
    <w:rsid w:val="00476D13"/>
    <w:rsid w:val="00492F39"/>
    <w:rsid w:val="00495C52"/>
    <w:rsid w:val="004A50DC"/>
    <w:rsid w:val="004B1A8D"/>
    <w:rsid w:val="004C1E7D"/>
    <w:rsid w:val="004E361F"/>
    <w:rsid w:val="004F3DB5"/>
    <w:rsid w:val="00502E82"/>
    <w:rsid w:val="00523150"/>
    <w:rsid w:val="00551F84"/>
    <w:rsid w:val="00573283"/>
    <w:rsid w:val="0059241B"/>
    <w:rsid w:val="005D45FF"/>
    <w:rsid w:val="005F1473"/>
    <w:rsid w:val="006026B8"/>
    <w:rsid w:val="00606369"/>
    <w:rsid w:val="00641B22"/>
    <w:rsid w:val="006508CC"/>
    <w:rsid w:val="00654E1B"/>
    <w:rsid w:val="00660AC4"/>
    <w:rsid w:val="006662A9"/>
    <w:rsid w:val="0067367B"/>
    <w:rsid w:val="00694BF7"/>
    <w:rsid w:val="006A0B57"/>
    <w:rsid w:val="006A3AC9"/>
    <w:rsid w:val="006B17CD"/>
    <w:rsid w:val="006F721F"/>
    <w:rsid w:val="0070305A"/>
    <w:rsid w:val="00722A10"/>
    <w:rsid w:val="0072478C"/>
    <w:rsid w:val="007263F9"/>
    <w:rsid w:val="007447CE"/>
    <w:rsid w:val="0075008F"/>
    <w:rsid w:val="0075047C"/>
    <w:rsid w:val="0078210C"/>
    <w:rsid w:val="0078740E"/>
    <w:rsid w:val="00792EFA"/>
    <w:rsid w:val="007A058B"/>
    <w:rsid w:val="007A0C40"/>
    <w:rsid w:val="007A0FB1"/>
    <w:rsid w:val="007A4723"/>
    <w:rsid w:val="007D6CFC"/>
    <w:rsid w:val="007E7EA4"/>
    <w:rsid w:val="007F72DB"/>
    <w:rsid w:val="0080511E"/>
    <w:rsid w:val="00807402"/>
    <w:rsid w:val="008223D4"/>
    <w:rsid w:val="00825E04"/>
    <w:rsid w:val="008411BD"/>
    <w:rsid w:val="00845491"/>
    <w:rsid w:val="00845C02"/>
    <w:rsid w:val="00852246"/>
    <w:rsid w:val="00854090"/>
    <w:rsid w:val="00864E3C"/>
    <w:rsid w:val="00876FC1"/>
    <w:rsid w:val="00892C1C"/>
    <w:rsid w:val="00894586"/>
    <w:rsid w:val="008C3CB1"/>
    <w:rsid w:val="008E1945"/>
    <w:rsid w:val="008F366E"/>
    <w:rsid w:val="00921D8D"/>
    <w:rsid w:val="009237F4"/>
    <w:rsid w:val="00945840"/>
    <w:rsid w:val="00950AD9"/>
    <w:rsid w:val="009604AB"/>
    <w:rsid w:val="00970734"/>
    <w:rsid w:val="00970E44"/>
    <w:rsid w:val="00987081"/>
    <w:rsid w:val="009A19BC"/>
    <w:rsid w:val="009A1D91"/>
    <w:rsid w:val="009A3519"/>
    <w:rsid w:val="009B3A59"/>
    <w:rsid w:val="009E1F67"/>
    <w:rsid w:val="009E392C"/>
    <w:rsid w:val="009E5ACA"/>
    <w:rsid w:val="009E770A"/>
    <w:rsid w:val="009F0B42"/>
    <w:rsid w:val="00A03574"/>
    <w:rsid w:val="00A0590A"/>
    <w:rsid w:val="00A14E52"/>
    <w:rsid w:val="00A33C13"/>
    <w:rsid w:val="00A34580"/>
    <w:rsid w:val="00A37E59"/>
    <w:rsid w:val="00A63030"/>
    <w:rsid w:val="00A7562C"/>
    <w:rsid w:val="00A76C51"/>
    <w:rsid w:val="00A93589"/>
    <w:rsid w:val="00AA440D"/>
    <w:rsid w:val="00AD5BDB"/>
    <w:rsid w:val="00AD7318"/>
    <w:rsid w:val="00B24340"/>
    <w:rsid w:val="00B3360B"/>
    <w:rsid w:val="00B344C7"/>
    <w:rsid w:val="00B63476"/>
    <w:rsid w:val="00B704D8"/>
    <w:rsid w:val="00B909AB"/>
    <w:rsid w:val="00BA0415"/>
    <w:rsid w:val="00BA3410"/>
    <w:rsid w:val="00BB3801"/>
    <w:rsid w:val="00BB5626"/>
    <w:rsid w:val="00BD1AAF"/>
    <w:rsid w:val="00C245B0"/>
    <w:rsid w:val="00C36490"/>
    <w:rsid w:val="00C44A80"/>
    <w:rsid w:val="00C460C5"/>
    <w:rsid w:val="00C5144A"/>
    <w:rsid w:val="00CC4992"/>
    <w:rsid w:val="00CD1161"/>
    <w:rsid w:val="00D210B2"/>
    <w:rsid w:val="00D46A9A"/>
    <w:rsid w:val="00D51154"/>
    <w:rsid w:val="00D708E0"/>
    <w:rsid w:val="00D859B5"/>
    <w:rsid w:val="00DA63B1"/>
    <w:rsid w:val="00DB4CAE"/>
    <w:rsid w:val="00DC7782"/>
    <w:rsid w:val="00DD4A60"/>
    <w:rsid w:val="00DF27DC"/>
    <w:rsid w:val="00E07B9B"/>
    <w:rsid w:val="00E148A6"/>
    <w:rsid w:val="00E148B4"/>
    <w:rsid w:val="00E244D4"/>
    <w:rsid w:val="00E56045"/>
    <w:rsid w:val="00E6358E"/>
    <w:rsid w:val="00E6371A"/>
    <w:rsid w:val="00E64AA3"/>
    <w:rsid w:val="00E959B6"/>
    <w:rsid w:val="00EC4A58"/>
    <w:rsid w:val="00ED6AA5"/>
    <w:rsid w:val="00EE3DE7"/>
    <w:rsid w:val="00F30C58"/>
    <w:rsid w:val="00F422A1"/>
    <w:rsid w:val="00F6176D"/>
    <w:rsid w:val="00F86E64"/>
    <w:rsid w:val="00FB229C"/>
    <w:rsid w:val="00FE5DA0"/>
    <w:rsid w:val="00FF41D1"/>
    <w:rsid w:val="028642E4"/>
    <w:rsid w:val="034D3112"/>
    <w:rsid w:val="04351B1E"/>
    <w:rsid w:val="04D23B83"/>
    <w:rsid w:val="05922FA0"/>
    <w:rsid w:val="05BE6CDA"/>
    <w:rsid w:val="0786391D"/>
    <w:rsid w:val="083E704B"/>
    <w:rsid w:val="08761AF2"/>
    <w:rsid w:val="088B4300"/>
    <w:rsid w:val="08EF1013"/>
    <w:rsid w:val="09B41737"/>
    <w:rsid w:val="09CD0A4B"/>
    <w:rsid w:val="0A4422E6"/>
    <w:rsid w:val="0A5E16A3"/>
    <w:rsid w:val="0A5F5783"/>
    <w:rsid w:val="0AAA0BDE"/>
    <w:rsid w:val="0ADF0A36"/>
    <w:rsid w:val="0CE00469"/>
    <w:rsid w:val="0D2515DE"/>
    <w:rsid w:val="0D845D06"/>
    <w:rsid w:val="0E3E5A73"/>
    <w:rsid w:val="0ECB23A9"/>
    <w:rsid w:val="0F194E44"/>
    <w:rsid w:val="0F576E3B"/>
    <w:rsid w:val="0FBE37A0"/>
    <w:rsid w:val="0FEF096A"/>
    <w:rsid w:val="10DE34EE"/>
    <w:rsid w:val="111A7168"/>
    <w:rsid w:val="11CE5360"/>
    <w:rsid w:val="11D7436A"/>
    <w:rsid w:val="11E16A7C"/>
    <w:rsid w:val="11E35E9B"/>
    <w:rsid w:val="127C300E"/>
    <w:rsid w:val="12A04A9D"/>
    <w:rsid w:val="13323F1D"/>
    <w:rsid w:val="13433206"/>
    <w:rsid w:val="14E37374"/>
    <w:rsid w:val="14EF3F6B"/>
    <w:rsid w:val="16832127"/>
    <w:rsid w:val="1683659F"/>
    <w:rsid w:val="18253403"/>
    <w:rsid w:val="18A2332F"/>
    <w:rsid w:val="191C4C03"/>
    <w:rsid w:val="1A1B6A42"/>
    <w:rsid w:val="1ADE0818"/>
    <w:rsid w:val="1B3D09A6"/>
    <w:rsid w:val="1C0E2F29"/>
    <w:rsid w:val="1C794C20"/>
    <w:rsid w:val="1CB82594"/>
    <w:rsid w:val="1D7E472B"/>
    <w:rsid w:val="1DAB6F5C"/>
    <w:rsid w:val="1DCF3742"/>
    <w:rsid w:val="1DF70907"/>
    <w:rsid w:val="1E3D568B"/>
    <w:rsid w:val="1E5170FD"/>
    <w:rsid w:val="1E63121F"/>
    <w:rsid w:val="1E85149C"/>
    <w:rsid w:val="1E961039"/>
    <w:rsid w:val="20311499"/>
    <w:rsid w:val="21794E28"/>
    <w:rsid w:val="22A42558"/>
    <w:rsid w:val="23203542"/>
    <w:rsid w:val="238C6E29"/>
    <w:rsid w:val="24E84974"/>
    <w:rsid w:val="255D4ACB"/>
    <w:rsid w:val="2567436D"/>
    <w:rsid w:val="268B0052"/>
    <w:rsid w:val="28E50DF5"/>
    <w:rsid w:val="2954073D"/>
    <w:rsid w:val="2A3D2C2B"/>
    <w:rsid w:val="2B08148B"/>
    <w:rsid w:val="2C5617EE"/>
    <w:rsid w:val="2CC727AB"/>
    <w:rsid w:val="2CF6785C"/>
    <w:rsid w:val="2D0F07B8"/>
    <w:rsid w:val="2D177764"/>
    <w:rsid w:val="2DA75290"/>
    <w:rsid w:val="2DCD34F3"/>
    <w:rsid w:val="2DFA324E"/>
    <w:rsid w:val="2E404316"/>
    <w:rsid w:val="2E8E614B"/>
    <w:rsid w:val="2F4F4680"/>
    <w:rsid w:val="2FD23E36"/>
    <w:rsid w:val="31B9578B"/>
    <w:rsid w:val="338212FD"/>
    <w:rsid w:val="34342160"/>
    <w:rsid w:val="364D5799"/>
    <w:rsid w:val="36796DD7"/>
    <w:rsid w:val="36E13A87"/>
    <w:rsid w:val="37636696"/>
    <w:rsid w:val="37FD5500"/>
    <w:rsid w:val="39E830E2"/>
    <w:rsid w:val="3A2C4365"/>
    <w:rsid w:val="3A2D05C6"/>
    <w:rsid w:val="3AA34D2C"/>
    <w:rsid w:val="3AEF0BFD"/>
    <w:rsid w:val="3AF67FF1"/>
    <w:rsid w:val="3BE164EA"/>
    <w:rsid w:val="3CE8111C"/>
    <w:rsid w:val="3D286441"/>
    <w:rsid w:val="3D670293"/>
    <w:rsid w:val="3D9F2971"/>
    <w:rsid w:val="3E4A3E49"/>
    <w:rsid w:val="3E665858"/>
    <w:rsid w:val="3E835ECA"/>
    <w:rsid w:val="3FBE0385"/>
    <w:rsid w:val="3FC40905"/>
    <w:rsid w:val="40785FF9"/>
    <w:rsid w:val="41A20451"/>
    <w:rsid w:val="427B3C9F"/>
    <w:rsid w:val="437378C0"/>
    <w:rsid w:val="43AC032D"/>
    <w:rsid w:val="44022AC4"/>
    <w:rsid w:val="4446386B"/>
    <w:rsid w:val="44F81C3C"/>
    <w:rsid w:val="454A4722"/>
    <w:rsid w:val="462E3F4B"/>
    <w:rsid w:val="466E0BB0"/>
    <w:rsid w:val="468B592A"/>
    <w:rsid w:val="47A17F0C"/>
    <w:rsid w:val="47BF78BF"/>
    <w:rsid w:val="47F941DE"/>
    <w:rsid w:val="480C2163"/>
    <w:rsid w:val="481D65E5"/>
    <w:rsid w:val="48577F4B"/>
    <w:rsid w:val="49045E33"/>
    <w:rsid w:val="49607BD3"/>
    <w:rsid w:val="4A3C6604"/>
    <w:rsid w:val="4A6844C6"/>
    <w:rsid w:val="4AA90C4D"/>
    <w:rsid w:val="4B7E7F04"/>
    <w:rsid w:val="4D6C4012"/>
    <w:rsid w:val="4E596533"/>
    <w:rsid w:val="4EB724B0"/>
    <w:rsid w:val="4F1F596D"/>
    <w:rsid w:val="508A39CD"/>
    <w:rsid w:val="50BB2A7E"/>
    <w:rsid w:val="50CD4459"/>
    <w:rsid w:val="512978E2"/>
    <w:rsid w:val="52480C1F"/>
    <w:rsid w:val="52A15B9E"/>
    <w:rsid w:val="52EF4B5B"/>
    <w:rsid w:val="53A87CE8"/>
    <w:rsid w:val="53D56AEC"/>
    <w:rsid w:val="542620E9"/>
    <w:rsid w:val="54D2203E"/>
    <w:rsid w:val="557C7C1C"/>
    <w:rsid w:val="564C7BCE"/>
    <w:rsid w:val="5666031A"/>
    <w:rsid w:val="569C0B56"/>
    <w:rsid w:val="56C1250A"/>
    <w:rsid w:val="57596A47"/>
    <w:rsid w:val="57BF2D4E"/>
    <w:rsid w:val="57D22946"/>
    <w:rsid w:val="583D6F7C"/>
    <w:rsid w:val="58F31FB0"/>
    <w:rsid w:val="593053E1"/>
    <w:rsid w:val="5A513A05"/>
    <w:rsid w:val="5AD14B46"/>
    <w:rsid w:val="5BC07095"/>
    <w:rsid w:val="5C075D5A"/>
    <w:rsid w:val="5C5D1877"/>
    <w:rsid w:val="5CD54512"/>
    <w:rsid w:val="5CE54DA2"/>
    <w:rsid w:val="5D375ACF"/>
    <w:rsid w:val="5E2979FB"/>
    <w:rsid w:val="5EF17565"/>
    <w:rsid w:val="603B53F0"/>
    <w:rsid w:val="607050FA"/>
    <w:rsid w:val="617A5F38"/>
    <w:rsid w:val="622B7232"/>
    <w:rsid w:val="62B65CE2"/>
    <w:rsid w:val="62EA2C49"/>
    <w:rsid w:val="63144F64"/>
    <w:rsid w:val="646B661A"/>
    <w:rsid w:val="647E554B"/>
    <w:rsid w:val="64CE09C8"/>
    <w:rsid w:val="653F54CE"/>
    <w:rsid w:val="658C36FD"/>
    <w:rsid w:val="65CC0E9B"/>
    <w:rsid w:val="66903693"/>
    <w:rsid w:val="671E0320"/>
    <w:rsid w:val="673651AD"/>
    <w:rsid w:val="67C11388"/>
    <w:rsid w:val="681B5049"/>
    <w:rsid w:val="682732A7"/>
    <w:rsid w:val="689D2D9B"/>
    <w:rsid w:val="68E96F2E"/>
    <w:rsid w:val="69D81998"/>
    <w:rsid w:val="6BF65CB4"/>
    <w:rsid w:val="6D0E308E"/>
    <w:rsid w:val="6EF55C2D"/>
    <w:rsid w:val="6F4162E7"/>
    <w:rsid w:val="6F8A083F"/>
    <w:rsid w:val="6FB75641"/>
    <w:rsid w:val="6FD74555"/>
    <w:rsid w:val="6FE44534"/>
    <w:rsid w:val="70111815"/>
    <w:rsid w:val="71C94960"/>
    <w:rsid w:val="73131D74"/>
    <w:rsid w:val="732B0CFD"/>
    <w:rsid w:val="73333E1B"/>
    <w:rsid w:val="738A241E"/>
    <w:rsid w:val="73D8047C"/>
    <w:rsid w:val="74B904B8"/>
    <w:rsid w:val="74F46097"/>
    <w:rsid w:val="75524DAA"/>
    <w:rsid w:val="75D67C67"/>
    <w:rsid w:val="75E83018"/>
    <w:rsid w:val="75FA234E"/>
    <w:rsid w:val="76494741"/>
    <w:rsid w:val="76A76DE0"/>
    <w:rsid w:val="76EA2E95"/>
    <w:rsid w:val="76EF6FE3"/>
    <w:rsid w:val="78830352"/>
    <w:rsid w:val="79196D1B"/>
    <w:rsid w:val="79352FFC"/>
    <w:rsid w:val="79554E68"/>
    <w:rsid w:val="79C17313"/>
    <w:rsid w:val="7AA911D3"/>
    <w:rsid w:val="7C460A98"/>
    <w:rsid w:val="7C6E06A7"/>
    <w:rsid w:val="7D226E2B"/>
    <w:rsid w:val="7D6C6E5E"/>
    <w:rsid w:val="7DEA14D1"/>
    <w:rsid w:val="7E967F03"/>
    <w:rsid w:val="7EEB39F8"/>
    <w:rsid w:val="7F0A7EBE"/>
    <w:rsid w:val="7F353611"/>
    <w:rsid w:val="A1EEAAAA"/>
    <w:rsid w:val="EFDFC4C3"/>
    <w:rsid w:val="F9AEC5F1"/>
    <w:rsid w:val="FF7F1A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jc w:val="center"/>
    </w:pPr>
    <w:rPr>
      <w:rFonts w:ascii="宋体" w:hAnsi="宋体" w:eastAsia="宋体" w:cs="Times New Roman"/>
      <w:kern w:val="2"/>
      <w:sz w:val="24"/>
      <w:szCs w:val="22"/>
      <w:lang w:val="en-US" w:eastAsia="zh-CN" w:bidi="ar-SA"/>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unhideWhenUsed/>
    <w:qFormat/>
    <w:uiPriority w:val="0"/>
    <w:pPr>
      <w:keepNext/>
      <w:keepLines/>
      <w:spacing w:before="260" w:after="260" w:line="416" w:lineRule="auto"/>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autoRedefine/>
    <w:qFormat/>
    <w:uiPriority w:val="0"/>
    <w:pPr>
      <w:spacing w:after="120"/>
    </w:pPr>
    <w:rPr>
      <w:rFonts w:ascii="@微软简标宋" w:hAnsi="@微软简标宋" w:eastAsia="@微软简标宋" w:cs="@微软简标宋"/>
      <w:szCs w:val="24"/>
      <w:lang w:val="zh-CN"/>
    </w:rPr>
  </w:style>
  <w:style w:type="paragraph" w:styleId="6">
    <w:name w:val="footer"/>
    <w:basedOn w:val="1"/>
    <w:link w:val="26"/>
    <w:autoRedefine/>
    <w:qFormat/>
    <w:uiPriority w:val="0"/>
    <w:pPr>
      <w:tabs>
        <w:tab w:val="center" w:pos="4153"/>
        <w:tab w:val="right" w:pos="8306"/>
      </w:tabs>
      <w:snapToGrid w:val="0"/>
    </w:pPr>
    <w:rPr>
      <w:sz w:val="18"/>
      <w:szCs w:val="18"/>
    </w:rPr>
  </w:style>
  <w:style w:type="paragraph" w:styleId="7">
    <w:name w:val="header"/>
    <w:basedOn w:val="1"/>
    <w:link w:val="25"/>
    <w:autoRedefine/>
    <w:qFormat/>
    <w:uiPriority w:val="0"/>
    <w:pPr>
      <w:pBdr>
        <w:bottom w:val="single" w:color="auto" w:sz="6" w:space="1"/>
      </w:pBdr>
      <w:tabs>
        <w:tab w:val="center" w:pos="4153"/>
        <w:tab w:val="right" w:pos="8306"/>
      </w:tabs>
      <w:snapToGrid w:val="0"/>
    </w:pPr>
    <w:rPr>
      <w:sz w:val="18"/>
      <w:szCs w:val="18"/>
    </w:rPr>
  </w:style>
  <w:style w:type="paragraph" w:styleId="8">
    <w:name w:val="toc 2"/>
    <w:basedOn w:val="1"/>
    <w:next w:val="1"/>
    <w:autoRedefine/>
    <w:unhideWhenUsed/>
    <w:qFormat/>
    <w:uiPriority w:val="39"/>
    <w:pPr>
      <w:widowControl/>
      <w:spacing w:after="100" w:line="276" w:lineRule="auto"/>
      <w:ind w:left="220"/>
    </w:pPr>
    <w:rPr>
      <w:rFonts w:asciiTheme="minorHAnsi" w:hAnsiTheme="minorHAnsi" w:eastAsiaTheme="minorEastAsia"/>
      <w:sz w:val="22"/>
    </w:rPr>
  </w:style>
  <w:style w:type="paragraph" w:styleId="9">
    <w:name w:val="Normal (Web)"/>
    <w:basedOn w:val="1"/>
    <w:autoRedefine/>
    <w:qFormat/>
    <w:uiPriority w:val="0"/>
    <w:rPr>
      <w:sz w:val="24"/>
    </w:rPr>
  </w:style>
  <w:style w:type="paragraph" w:styleId="10">
    <w:name w:val="Title"/>
    <w:basedOn w:val="1"/>
    <w:next w:val="1"/>
    <w:link w:val="29"/>
    <w:autoRedefine/>
    <w:qFormat/>
    <w:uiPriority w:val="0"/>
    <w:pPr>
      <w:spacing w:before="240" w:after="60"/>
      <w:outlineLvl w:val="0"/>
    </w:pPr>
    <w:rPr>
      <w:rFonts w:asciiTheme="majorHAnsi" w:hAnsiTheme="majorHAnsi" w:cstheme="majorBidi"/>
      <w:b/>
      <w:bCs/>
      <w:sz w:val="32"/>
      <w:szCs w:val="32"/>
    </w:rPr>
  </w:style>
  <w:style w:type="character" w:styleId="13">
    <w:name w:val="Strong"/>
    <w:basedOn w:val="12"/>
    <w:autoRedefine/>
    <w:qFormat/>
    <w:uiPriority w:val="0"/>
    <w:rPr>
      <w:b/>
      <w:bCs/>
    </w:rPr>
  </w:style>
  <w:style w:type="character" w:styleId="14">
    <w:name w:val="FollowedHyperlink"/>
    <w:basedOn w:val="12"/>
    <w:autoRedefine/>
    <w:qFormat/>
    <w:uiPriority w:val="0"/>
    <w:rPr>
      <w:color w:val="800080"/>
      <w:u w:val="none"/>
    </w:rPr>
  </w:style>
  <w:style w:type="character" w:styleId="15">
    <w:name w:val="Emphasis"/>
    <w:basedOn w:val="12"/>
    <w:autoRedefine/>
    <w:qFormat/>
    <w:uiPriority w:val="0"/>
  </w:style>
  <w:style w:type="character" w:styleId="16">
    <w:name w:val="HTML Definition"/>
    <w:basedOn w:val="12"/>
    <w:autoRedefine/>
    <w:qFormat/>
    <w:uiPriority w:val="0"/>
  </w:style>
  <w:style w:type="character" w:styleId="17">
    <w:name w:val="HTML Typewriter"/>
    <w:basedOn w:val="12"/>
    <w:autoRedefine/>
    <w:qFormat/>
    <w:uiPriority w:val="0"/>
    <w:rPr>
      <w:rFonts w:ascii="monospace" w:hAnsi="monospace" w:eastAsia="monospace" w:cs="monospace"/>
      <w:sz w:val="20"/>
    </w:rPr>
  </w:style>
  <w:style w:type="character" w:styleId="18">
    <w:name w:val="HTML Acronym"/>
    <w:basedOn w:val="12"/>
    <w:autoRedefine/>
    <w:qFormat/>
    <w:uiPriority w:val="0"/>
  </w:style>
  <w:style w:type="character" w:styleId="19">
    <w:name w:val="HTML Variable"/>
    <w:basedOn w:val="12"/>
    <w:autoRedefine/>
    <w:qFormat/>
    <w:uiPriority w:val="0"/>
  </w:style>
  <w:style w:type="character" w:styleId="20">
    <w:name w:val="Hyperlink"/>
    <w:basedOn w:val="12"/>
    <w:autoRedefine/>
    <w:qFormat/>
    <w:uiPriority w:val="0"/>
    <w:rPr>
      <w:color w:val="0000FF"/>
      <w:u w:val="none"/>
    </w:rPr>
  </w:style>
  <w:style w:type="character" w:styleId="21">
    <w:name w:val="HTML Code"/>
    <w:basedOn w:val="12"/>
    <w:autoRedefine/>
    <w:qFormat/>
    <w:uiPriority w:val="0"/>
    <w:rPr>
      <w:rFonts w:hint="default" w:ascii="monospace" w:hAnsi="monospace" w:eastAsia="monospace" w:cs="monospace"/>
      <w:sz w:val="20"/>
    </w:rPr>
  </w:style>
  <w:style w:type="character" w:styleId="22">
    <w:name w:val="HTML Cite"/>
    <w:basedOn w:val="12"/>
    <w:autoRedefine/>
    <w:qFormat/>
    <w:uiPriority w:val="0"/>
  </w:style>
  <w:style w:type="character" w:styleId="23">
    <w:name w:val="HTML Keyboard"/>
    <w:basedOn w:val="12"/>
    <w:autoRedefine/>
    <w:qFormat/>
    <w:uiPriority w:val="0"/>
    <w:rPr>
      <w:rFonts w:hint="default" w:ascii="monospace" w:hAnsi="monospace" w:eastAsia="monospace" w:cs="monospace"/>
      <w:sz w:val="20"/>
    </w:rPr>
  </w:style>
  <w:style w:type="character" w:styleId="24">
    <w:name w:val="HTML Sample"/>
    <w:basedOn w:val="12"/>
    <w:autoRedefine/>
    <w:qFormat/>
    <w:uiPriority w:val="0"/>
    <w:rPr>
      <w:rFonts w:hint="default" w:ascii="monospace" w:hAnsi="monospace" w:eastAsia="monospace" w:cs="monospace"/>
    </w:rPr>
  </w:style>
  <w:style w:type="character" w:customStyle="1" w:styleId="25">
    <w:name w:val="页眉 Char"/>
    <w:basedOn w:val="12"/>
    <w:link w:val="7"/>
    <w:autoRedefine/>
    <w:qFormat/>
    <w:uiPriority w:val="0"/>
    <w:rPr>
      <w:rFonts w:ascii="Times New Roman" w:hAnsi="Times New Roman"/>
      <w:kern w:val="2"/>
      <w:sz w:val="18"/>
      <w:szCs w:val="18"/>
    </w:rPr>
  </w:style>
  <w:style w:type="character" w:customStyle="1" w:styleId="26">
    <w:name w:val="页脚 Char"/>
    <w:basedOn w:val="12"/>
    <w:link w:val="6"/>
    <w:autoRedefine/>
    <w:qFormat/>
    <w:uiPriority w:val="0"/>
    <w:rPr>
      <w:rFonts w:ascii="Times New Roman" w:hAnsi="Times New Roman"/>
      <w:kern w:val="2"/>
      <w:sz w:val="18"/>
      <w:szCs w:val="18"/>
    </w:rPr>
  </w:style>
  <w:style w:type="table" w:customStyle="1" w:styleId="27">
    <w:name w:val="网格型2"/>
    <w:basedOn w:val="11"/>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xl31"/>
    <w:basedOn w:val="1"/>
    <w:autoRedefine/>
    <w:qFormat/>
    <w:uiPriority w:val="0"/>
    <w:pPr>
      <w:widowControl/>
      <w:spacing w:before="100" w:beforeAutospacing="1" w:after="100" w:afterAutospacing="1"/>
    </w:pPr>
    <w:rPr>
      <w:b/>
      <w:bCs/>
      <w:sz w:val="28"/>
      <w:szCs w:val="28"/>
    </w:rPr>
  </w:style>
  <w:style w:type="character" w:customStyle="1" w:styleId="29">
    <w:name w:val="标题 Char"/>
    <w:basedOn w:val="12"/>
    <w:link w:val="10"/>
    <w:autoRedefine/>
    <w:qFormat/>
    <w:uiPriority w:val="0"/>
    <w:rPr>
      <w:rFonts w:asciiTheme="majorHAnsi" w:hAnsiTheme="majorHAnsi" w:cstheme="majorBidi"/>
      <w:b/>
      <w:bCs/>
      <w:kern w:val="2"/>
      <w:sz w:val="32"/>
      <w:szCs w:val="32"/>
    </w:rPr>
  </w:style>
  <w:style w:type="paragraph" w:styleId="3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2411</Words>
  <Characters>2454</Characters>
  <Lines>39</Lines>
  <Paragraphs>11</Paragraphs>
  <TotalTime>1</TotalTime>
  <ScaleCrop>false</ScaleCrop>
  <LinksUpToDate>false</LinksUpToDate>
  <CharactersWithSpaces>2470</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2024-05-16T01:00:00Z</dcterms:created>
  <dc:creator>user</dc:creator>
  <cp:lastModifiedBy>QDX</cp:lastModifiedBy>
  <cp:lastPrinted>2024-12-26T08:34:00Z</cp:lastPrinted>
  <dcterms:modified xsi:type="dcterms:W3CDTF">2025-12-25T01:54:12Z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D0097495BF864C219FD1B3ACF45417B2_13</vt:lpwstr>
  </property>
  <property fmtid="{D5CDD505-2E9C-101B-9397-08002B2CF9AE}" pid="4" name="KSOTemplateDocerSaveRecord">
    <vt:lpwstr>eyJoZGlkIjoiYmY0OWNlNWQ3Y2QzMTA2MzMxOTIxM2JkMDY5NmJlYTgiLCJ1c2VySWQiOiIxNTczNjMyMTMzIn0=</vt:lpwstr>
  </property>
</Properties>
</file>