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供参考，具体内容以磋商文件为准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  <w:bookmarkStart w:id="1" w:name="_GoBack"/>
      <w:bookmarkEnd w:id="1"/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已履行相关论证手续，经核准采购进口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产品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，但不限制满足询价通知书要求的国内产品参与竞争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。未标注进口产品的货物均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为拒绝采购进口产品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3.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下列采购需求中：标注▲的产品</w:t>
      </w:r>
      <w:r>
        <w:rPr>
          <w:rFonts w:hint="eastAsia" w:asciiTheme="minorEastAsia" w:hAnsiTheme="minorEastAsia" w:eastAsiaTheme="minorEastAsia"/>
          <w:bCs/>
          <w:sz w:val="24"/>
          <w:szCs w:val="18"/>
          <w:highlight w:val="none"/>
        </w:rPr>
        <w:t>（核心产品）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，供应商在响应文件《主要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成交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标的承诺函》中填写名称、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品牌、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规格、型号、数量、单价等信息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hint="eastAsia"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4.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z w:val="24"/>
          <w:szCs w:val="1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18"/>
          <w:highlight w:val="none"/>
        </w:rPr>
        <w:t>.所投医疗器械</w:t>
      </w:r>
      <w:r>
        <w:rPr>
          <w:rFonts w:hint="eastAsia" w:ascii="宋体" w:hAnsi="宋体" w:eastAsia="宋体" w:cs="宋体"/>
          <w:color w:val="auto"/>
          <w:sz w:val="24"/>
          <w:szCs w:val="18"/>
          <w:highlight w:val="none"/>
        </w:rPr>
        <w:t>须具有医疗器械注册证，</w:t>
      </w:r>
      <w:r>
        <w:rPr>
          <w:rFonts w:hint="eastAsia" w:ascii="宋体" w:hAnsi="宋体" w:eastAsia="宋体" w:cs="宋体"/>
          <w:color w:val="auto"/>
          <w:sz w:val="24"/>
          <w:szCs w:val="1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18"/>
          <w:highlight w:val="none"/>
        </w:rPr>
        <w:t>文件中须提供完整的证书，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18"/>
          <w:highlight w:val="none"/>
        </w:rPr>
        <w:t>否则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18"/>
          <w:highlight w:val="none"/>
          <w:lang w:val="en-US" w:eastAsia="zh-CN"/>
        </w:rPr>
        <w:t>按无效响应处理。</w:t>
      </w:r>
    </w:p>
    <w:p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6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6" w:type="pct"/>
            <w:vAlign w:val="center"/>
          </w:tcPr>
          <w:p>
            <w:pPr>
              <w:spacing w:line="312" w:lineRule="auto"/>
              <w:jc w:val="left"/>
              <w:rPr>
                <w:rFonts w:hint="default" w:asciiTheme="minorEastAsia" w:hAnsiTheme="minorEastAsia" w:eastAsiaTheme="minorEastAsia"/>
                <w:b w:val="0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项目验收完成后一次性付清合同款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供货及安装地点</w:t>
            </w:r>
          </w:p>
        </w:tc>
        <w:tc>
          <w:tcPr>
            <w:tcW w:w="3216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供货及安装期限</w:t>
            </w:r>
          </w:p>
        </w:tc>
        <w:tc>
          <w:tcPr>
            <w:tcW w:w="3216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合同签订后10日历天内完成供货、安装、调试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质保期</w:t>
            </w:r>
          </w:p>
        </w:tc>
        <w:tc>
          <w:tcPr>
            <w:tcW w:w="3216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验收合格后5年</w:t>
            </w:r>
          </w:p>
        </w:tc>
      </w:tr>
    </w:tbl>
    <w:p>
      <w:pPr>
        <w:spacing w:line="360" w:lineRule="auto"/>
        <w:ind w:firstLine="437"/>
        <w:outlineLvl w:val="1"/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二、货物需求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1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1、指标重要性描述</w:t>
      </w:r>
    </w:p>
    <w:tbl>
      <w:tblPr>
        <w:tblStyle w:val="9"/>
        <w:tblW w:w="83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17"/>
        <w:gridCol w:w="5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标识重要性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标识符号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符号说明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重要指标项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★条款须满足或优于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18"/>
                <w:highlight w:val="none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要求，否则按无效响应处理。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响应文件中提供产品彩页、医疗器械注册证或备案凭证、技术白皮书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、说明书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无标识项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0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当无标识项有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条及以上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未响应的，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按无效响应处理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（无标识项的响应情况在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“第六章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文件格式”“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、响应表”的“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.2技术响应表”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中注明。）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376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注：如某项标识中包含多条技术参数或要求，则该项标识所含内容均需满足或优于采购要求，否则不予认可。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2、货物需求</w:t>
      </w:r>
    </w:p>
    <w:tbl>
      <w:tblPr>
        <w:tblStyle w:val="4"/>
        <w:tblW w:w="8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62"/>
        <w:gridCol w:w="1444"/>
        <w:gridCol w:w="1432"/>
        <w:gridCol w:w="2175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是否允许采购进口产品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是否需要医疗器械注册证或备案凭证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腰椎微电脑牵引床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颈椎微电脑牵引椅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针灸推拿床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电磁波治疗仪（神灯）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100台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不锈钢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治疗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不锈钢抢救车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电动起立床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空气压力波治疗仪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中频脉冲治疗仪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▲上下肢主被动运动康复机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电针仪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</w:tbl>
    <w:p>
      <w:pPr>
        <w:spacing w:line="360" w:lineRule="auto"/>
        <w:ind w:firstLine="482" w:firstLineChars="200"/>
        <w:outlineLvl w:val="1"/>
        <w:rPr>
          <w:rFonts w:hint="default" w:asciiTheme="minorEastAsia" w:hAnsiTheme="minorEastAsia" w:eastAsiaTheme="minorEastAsia"/>
          <w:b/>
          <w:bCs/>
          <w:sz w:val="24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  <w:lang w:val="en-US" w:eastAsia="zh-CN"/>
        </w:rPr>
        <w:t>三、技术要求</w:t>
      </w:r>
    </w:p>
    <w:tbl>
      <w:tblPr>
        <w:tblStyle w:val="4"/>
        <w:tblW w:w="10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62"/>
        <w:gridCol w:w="8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技术参数及要求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腰椎微电脑牵引床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额定输入功率：≥240VA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腰椎牵引行程：0～200mm，允差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腰椎牵引总时间：0～99min可设定，级差1min，允差为±30s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★腰椎牵引力：0～980N(0～99kg）可设定，不大于200N时，允差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200N～980N时，允差为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牵引持续时间：0～9min可设定，级差1min，允差为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30s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★牵引间歇时间：0～90s可设定，级差10s，允差为±30s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牵引床腰部加热温度：55℃，允差±3℃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★牵引床的腰椎纵向牵引速度：7mm±2mm/s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床面额定承载：≥1500N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外观尺寸：2450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780mm±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微电脑控制二维腰椎牵引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智能数字显示时间、牵引力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牵引床具备正向牵引力自动补偿功能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具有持续牵引、间歇牵引、反复牵引、阶梯式牵引等≥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种牵引方式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上身床面可以气动升降，增加了成角牵引功能（上成角0°～+30°任意可调，允差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2°)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具有手动应急放松安全保护功能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具有病历档案的存储功能，存储数量为≥20例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配有测力传感器，在治疗过程中及时跟踪显示牵引力的变化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牵引床具有232电脑通讯接口装置，可以连接电脑进行操作，连接电脑后可无限存储病例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牵引床的腋窝受力杆长度可逐级调节，调节杆的总长为60cm±2cm，每级调节距离为4cm±1cm，总调节距离不小于10cm±1cm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腋窝受力杆承受400N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40N拉力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设备标注使用年限≥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具备紧急使用手控器。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颈椎微电脑牵引椅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电源电压：交流220V±22V、频率50Hz±1Hz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颈椎牵引力：0～200N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颈椎牵引行程：0～500mm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微动开关控制电动颈椎牵引机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★通过微动开关可设定牵引力、牵引行程、牵引时间及牵引复位功能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患者与医务人员均可控制牵引力大小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牵引力采用管形测力计显示拉力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具有牵引力自动补偿功能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颈椎牵引曲度可以调节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具备紧急使用手控器。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针灸推拿床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床体尺寸（长宽高）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2000×730×700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mm，允差±5%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床体最大承载重量：≥200kg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配有患者呼吸孔及海绵堵头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支架采用钢管，管壁厚度≥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电磁波治疗仪（神灯）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产品规格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1470mm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时间设置30-90min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温度设定≥3档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具有过热保护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按键控制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电源线规格≥2m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加热器使用寿命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5000小时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元素板直径≥160mm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元素板使用寿命≥2000小时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★活动臂旋转角度360°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★智能保护：45°倾斜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不锈钢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治疗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车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规格尺寸：660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440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850mm±5mm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整体采用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厚度≥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1.2mm的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304不锈钢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治疗车分为上下两层，上下台面采用厚度≥1.0mm的不锈钢板，台面设置三面（左、右及后面）不锈钢12mm圆管护栏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每一层三面围挡护栏高≥70mm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支撑立柱为直径≥25mm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1.2mm的不锈钢圆管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产品额定承重≥60kg，上、下台面各承重≥30kg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第一层面板下为并排双抽屉设计，抽屉采用三节静音式导轨，抽拉灵活，无噪音，抽屉采用铝拉手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抽屉采用≥1.0mm厚不锈钢板整体折弯后组焊成型；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治疗车配有四只≥3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寸医疗万向静音脚轮，脚轮采用膨胀设计，带刹车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台面、抽屉等整体采用贴合卷边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不锈钢抢救车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规格尺寸：660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440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850mm±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5mm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整体采用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厚度≥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1.2mm的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304不锈钢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顶部盖板可以打开，盖板内侧有蓝色物品袋，打开后为储物空间，搭配一个可滑动托盘，正面左侧为一个抽屉，抽屉采用三节静音式导轨，抽拉灵活，无噪音，抽屉采用铝拉手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抽屉采用≥1.0mm厚不锈钢冷轧钢板整体折弯后组焊成型；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不锈钢抢救车下方为储物柜，右侧为一个大的储物柜，带有锁具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产品额定承重≥60kg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配有四只≥3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寸医疗万向静音脚轮，脚轮采用膨胀设计，带刹车；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台面、抽屉等整体采用贴合卷边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电动起立床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一、电机与驱动性能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电机推力：常规翻转推力≥8000N；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升降速度：400mm/min±10mm/min，适用于长期卧床患者的缓慢调节；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安全保护：电机和支撑弹簧双重保护，防止电机故障时床面瞬间下降。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二、结构与安全设计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直立位扶手板高度调节范围：850</w:t>
            </w:r>
            <w:bookmarkStart w:id="0" w:name="_Hlk18079172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～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1500mm，允差±50mm；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倾斜角度显示器、紧急停止按钮及手动控制装置。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三、附加功能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可拆卸床垫、床头、床尾板；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配备手持控制器调节床体角度。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空气压力波治疗仪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一、基础参数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压力调节范围：0～200mmHg±5%；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治疗时间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（1）单次治疗时间：1～99分钟可调；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（2）循环间隔时间：0～90秒可调。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腔数与套筒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腔数配置：≥12腔；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（2）多肢体治疗：可同时连接2个套筒，治疗双肢体（如上肢+下肢）。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二、功能与模式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治疗模式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（1）抗栓模式，适用于防止下肢静脉血栓形成；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（2）水肿模式，从近心端做离心性的向心挤压，驱动组织液向躯干方向逐级回流，进入中心循环系统，达到治疗水肿的目的；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（3）动脉组合模式；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（4）按摩模式；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（5）康复组合模式。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附加功能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（1）主机具有实时压力检测及提示功能；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（2）可关闭某腔以跳过伤口或脆弱部位。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三、安全与材质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安全设计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（1）报警功能：自诊断功能，过压、漏气、管路脱落、空接状态等安全检测，声光报警，同步提示解决办法。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（2）紧急停止：配备手持紧急停止按钮或触控屏快速终止功能。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套筒内胆：医用级TPU材料，抗压耐磨，防止滴液渗入，方便擦拭消毒、预防交叉感染。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中频脉冲治疗仪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一、基础参数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产品结构形式：柜式款，万向脚轮。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二、调制与波形参数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调幅度：0%～100%，误差±5%；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调制波形：方波、正弦波、三角波、锯齿波、指数波、扇形波、梯形波、尖波。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三、功能与附加设计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治疗模式与通道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（1）具备多步模式、音频模式、正弦调制、脉冲调制、干扰模式等治疗模式等；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输出通道：≥4通道（同时治疗4个部位）；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功能集成：支持中频电疗、电极加热、离子导入等多模式组合。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内置处方：具备常见处方。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配置多种不同规格硅橡胶电极。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治疗时间：1min～99min可调，步长1min，允差±5%。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具有参数锁定功能，满足临床个性化需求。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四、安全保护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电极片温度超过安全温度时热保护器开启，且有报警提示。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电疗仪在输出状态无负载时，发出声音和显示错误提示。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短路保护：电疗仪在输出端短路时，发出声音和显示错误提示。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▲上下肢主被动运动康复机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一、基础参数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输入电压：AC220V±10%，频率50Hz。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二、功能与模式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设备可提供上肢与下肢的运动康复训练。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训练模式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基础模式：包含被动模式、助力模式、主被动模式、主动模式等；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（2）上肢训练臂可进行水平方向180°旋转，为上肢训练提供舒适与便捷；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（3）上肢训练臂可进行垂直方向90°旋转，具有上肢垂直圆周运动与水平圆周运动变换功能；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（4）具有训练方案、病例档案存储查询管理功能；可利用智能卡或U盘进行训练方案、病例档案管理，联机打印训练结果。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智能交互与显示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操作界面：彩色触摸屏，支持中文显示及参数实时监控（如运动时间、运动阻力、运动速度、对称性、主被动及痉挛、训练的主动被动速度、痉挛次数、肌肉张力等）；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（2）主、被动训练模式可自由转换或可手动选择；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（3）护腿板高度可调节，适用于不同身高患者使用；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（4）具有语音提示功能，实时播报患者当前运动状态。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三、安全与保护设计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痉挛保护：至少具有高、中、低三档，根据使用者情况进行设定。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紧急控制：急停按钮、触控屏一键暂停、声控急停。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结构安全：防滑底座、可调节高度支架（适配不同病床），腿部绑带固定防止滑脱。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电针仪</w:t>
            </w:r>
          </w:p>
        </w:tc>
        <w:tc>
          <w:tcPr>
            <w:tcW w:w="8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额定输入功率：≥8VA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输出通道：五路输出，独立可调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输出波形：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种，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连续波、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间歇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波、疏密波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连续波：频率1Hz～100Hz连续可调；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脉冲宽度0.5ms±0.1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治疗时间：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0-6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0min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可调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</w:pPr>
    </w:p>
    <w:p>
      <w:pPr>
        <w:spacing w:line="360" w:lineRule="auto"/>
        <w:ind w:firstLine="482" w:firstLineChars="200"/>
        <w:outlineLvl w:val="1"/>
        <w:rPr>
          <w:rFonts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、报价要求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采用总价报价，供应商报价不得高于本包最高限价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</w:rPr>
        <w:t>否则按无效响应处理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。报价包含完成本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项目所有内容的费用，采购人后期不再追加任何费用。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宋体" w:hAnsi="宋体" w:eastAsia="宋体"/>
          <w:b/>
          <w:bCs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18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4"/>
          <w:szCs w:val="18"/>
          <w:highlight w:val="none"/>
        </w:rPr>
        <w:t>、验收要求</w:t>
      </w:r>
    </w:p>
    <w:p>
      <w:pPr>
        <w:spacing w:line="360" w:lineRule="auto"/>
        <w:ind w:firstLine="437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项目</w:t>
      </w:r>
      <w:r>
        <w:rPr>
          <w:rFonts w:ascii="宋体" w:hAnsi="宋体" w:eastAsia="宋体" w:cs="宋体"/>
          <w:sz w:val="24"/>
          <w:highlight w:val="none"/>
          <w:shd w:val="clear" w:color="auto" w:fill="FFFFFF"/>
        </w:rPr>
        <w:t>验收时，由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采购人组织</w:t>
      </w:r>
      <w:r>
        <w:rPr>
          <w:rFonts w:ascii="宋体" w:hAnsi="宋体" w:eastAsia="宋体" w:cs="宋体"/>
          <w:sz w:val="24"/>
          <w:highlight w:val="none"/>
          <w:shd w:val="clear" w:color="auto" w:fill="FFFFFF"/>
        </w:rPr>
        <w:t>验收小组，验收小组应严格依照采购文件、采购合同及相关验收规范进行核对、验收，形成验收结论，并出具书面验收报告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32989"/>
    <w:multiLevelType w:val="singleLevel"/>
    <w:tmpl w:val="801329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3E3C802"/>
    <w:multiLevelType w:val="singleLevel"/>
    <w:tmpl w:val="83E3C8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311F22E"/>
    <w:multiLevelType w:val="singleLevel"/>
    <w:tmpl w:val="9311F2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0955511"/>
    <w:multiLevelType w:val="singleLevel"/>
    <w:tmpl w:val="C095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BBC0A20"/>
    <w:multiLevelType w:val="singleLevel"/>
    <w:tmpl w:val="CBBC0A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1A02197"/>
    <w:multiLevelType w:val="singleLevel"/>
    <w:tmpl w:val="E1A021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AF3A2A5"/>
    <w:multiLevelType w:val="singleLevel"/>
    <w:tmpl w:val="FAF3A2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BCF03D9"/>
    <w:multiLevelType w:val="singleLevel"/>
    <w:tmpl w:val="FBCF03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4DD1BEE"/>
    <w:multiLevelType w:val="singleLevel"/>
    <w:tmpl w:val="04DD1B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7E3F3BB"/>
    <w:multiLevelType w:val="singleLevel"/>
    <w:tmpl w:val="07E3F3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A9F504A"/>
    <w:multiLevelType w:val="singleLevel"/>
    <w:tmpl w:val="0A9F50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CBF0148"/>
    <w:multiLevelType w:val="singleLevel"/>
    <w:tmpl w:val="0CBF01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125C6EAF"/>
    <w:multiLevelType w:val="singleLevel"/>
    <w:tmpl w:val="125C6E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13FB02AD"/>
    <w:multiLevelType w:val="singleLevel"/>
    <w:tmpl w:val="13FB02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21779BD7"/>
    <w:multiLevelType w:val="singleLevel"/>
    <w:tmpl w:val="21779B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2208572E"/>
    <w:multiLevelType w:val="singleLevel"/>
    <w:tmpl w:val="220857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29B315F"/>
    <w:multiLevelType w:val="singleLevel"/>
    <w:tmpl w:val="529B31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62C0E783"/>
    <w:multiLevelType w:val="singleLevel"/>
    <w:tmpl w:val="62C0E7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17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  <w:num w:numId="16">
    <w:abstractNumId w:val="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57650254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56F70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650254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2025-03-27T06:43:00Z</dcterms:created>
  <dc:creator>丁吉</dc:creator>
  <cp:lastModifiedBy>丁吉</cp:lastModifiedBy>
  <dcterms:modified xsi:type="dcterms:W3CDTF">2025-03-27T06:43:42Z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F23386F013C446B2969753E8C8971FCF_11</vt:lpwstr>
  </property>
</Properties>
</file>